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01" w:rsidRDefault="008C1D0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Федеральное государственное образовательное бюджетное учреждение</w:t>
      </w:r>
    </w:p>
    <w:p w:rsidR="00C25601" w:rsidRDefault="008C1D0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высшего образования</w:t>
      </w: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«Финансовый университет при Правительстве Российской Федерации»</w:t>
      </w: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(Финансовый университет)</w:t>
      </w:r>
    </w:p>
    <w:p w:rsidR="00C25601" w:rsidRDefault="00C25601">
      <w:pPr>
        <w:jc w:val="center"/>
        <w:rPr>
          <w:rFonts w:ascii="Times New Roman" w:hAnsi="Times New Roman" w:cs="Times New Roman"/>
          <w:b/>
          <w:szCs w:val="28"/>
        </w:rPr>
      </w:pP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Кафедра «Государственно-частное партнерство»</w:t>
      </w: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Факультета «Высшая школа управления»</w:t>
      </w:r>
    </w:p>
    <w:p w:rsidR="00C25601" w:rsidRDefault="00C25601">
      <w:pPr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101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920"/>
        <w:gridCol w:w="4260"/>
      </w:tblGrid>
      <w:tr w:rsidR="00C25601">
        <w:trPr>
          <w:trHeight w:val="454"/>
        </w:trPr>
        <w:tc>
          <w:tcPr>
            <w:tcW w:w="5919" w:type="dxa"/>
          </w:tcPr>
          <w:p w:rsidR="00C25601" w:rsidRDefault="008C1D0F">
            <w:pPr>
              <w:widowControl w:val="0"/>
              <w:tabs>
                <w:tab w:val="left" w:pos="270"/>
              </w:tabs>
              <w:spacing w:before="24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СОГЛАСОВАНО</w:t>
            </w:r>
          </w:p>
          <w:p w:rsidR="00C25601" w:rsidRDefault="00C25601">
            <w:pPr>
              <w:widowControl w:val="0"/>
              <w:tabs>
                <w:tab w:val="left" w:pos="270"/>
              </w:tabs>
              <w:rPr>
                <w:rFonts w:ascii="Times New Roman" w:hAnsi="Times New Roman" w:cs="Times New Roman"/>
                <w:b/>
                <w:szCs w:val="28"/>
              </w:rPr>
            </w:pP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ООО «Автодор Инвест»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Управляющий директор по правовому структурированию</w:t>
            </w:r>
          </w:p>
          <w:p w:rsidR="00C25601" w:rsidRDefault="00C25601">
            <w:pPr>
              <w:widowControl w:val="0"/>
              <w:rPr>
                <w:rFonts w:ascii="Times New Roman" w:hAnsi="Times New Roman" w:cs="Times New Roman"/>
              </w:rPr>
            </w:pP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 Д.А. Патрин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="009A2A37">
              <w:rPr>
                <w:rFonts w:ascii="Times New Roman" w:hAnsi="Times New Roman" w:cs="Times New Roman"/>
                <w:szCs w:val="28"/>
              </w:rPr>
              <w:t>24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="009A2A37">
              <w:rPr>
                <w:rFonts w:ascii="Times New Roman" w:hAnsi="Times New Roman" w:cs="Times New Roman"/>
                <w:szCs w:val="28"/>
              </w:rPr>
              <w:t xml:space="preserve"> ноября</w:t>
            </w:r>
            <w:r>
              <w:rPr>
                <w:rFonts w:ascii="Times New Roman" w:hAnsi="Times New Roman" w:cs="Times New Roman"/>
                <w:szCs w:val="28"/>
              </w:rPr>
              <w:t xml:space="preserve"> 2022 г.</w:t>
            </w:r>
          </w:p>
          <w:p w:rsidR="00C25601" w:rsidRDefault="00C25601">
            <w:pPr>
              <w:widowControl w:val="0"/>
              <w:tabs>
                <w:tab w:val="left" w:pos="270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</w:tc>
        <w:tc>
          <w:tcPr>
            <w:tcW w:w="4260" w:type="dxa"/>
          </w:tcPr>
          <w:p w:rsidR="00C25601" w:rsidRDefault="008C1D0F" w:rsidP="009A2A37">
            <w:pPr>
              <w:widowControl w:val="0"/>
              <w:tabs>
                <w:tab w:val="left" w:pos="270"/>
              </w:tabs>
              <w:spacing w:before="240" w:after="200"/>
              <w:ind w:left="-76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УТВЕРЖДАЮ</w:t>
            </w:r>
          </w:p>
          <w:p w:rsidR="00C25601" w:rsidRDefault="008C1D0F" w:rsidP="009A2A37">
            <w:pPr>
              <w:widowControl w:val="0"/>
              <w:tabs>
                <w:tab w:val="left" w:pos="270"/>
              </w:tabs>
              <w:ind w:left="-76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Проректор по учебной и</w:t>
            </w:r>
          </w:p>
          <w:p w:rsidR="00C25601" w:rsidRDefault="008C1D0F" w:rsidP="009A2A37">
            <w:pPr>
              <w:widowControl w:val="0"/>
              <w:tabs>
                <w:tab w:val="left" w:pos="270"/>
              </w:tabs>
              <w:ind w:left="-76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методической работе</w:t>
            </w:r>
          </w:p>
          <w:p w:rsidR="00C25601" w:rsidRDefault="00C25601" w:rsidP="009A2A37">
            <w:pPr>
              <w:widowControl w:val="0"/>
              <w:tabs>
                <w:tab w:val="left" w:pos="270"/>
              </w:tabs>
              <w:spacing w:after="200"/>
              <w:ind w:left="-76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  <w:p w:rsidR="00C25601" w:rsidRDefault="008C1D0F" w:rsidP="009A2A37">
            <w:pPr>
              <w:widowControl w:val="0"/>
              <w:tabs>
                <w:tab w:val="left" w:pos="270"/>
              </w:tabs>
              <w:spacing w:after="200"/>
              <w:ind w:left="-76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___________Е.А. Каменева</w:t>
            </w:r>
          </w:p>
          <w:p w:rsidR="00C25601" w:rsidRDefault="009A2A37" w:rsidP="009A2A37">
            <w:pPr>
              <w:widowControl w:val="0"/>
              <w:tabs>
                <w:tab w:val="left" w:pos="270"/>
              </w:tabs>
              <w:spacing w:after="200"/>
              <w:ind w:left="-7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«01» декабря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 2022 г.</w:t>
            </w:r>
            <w:r w:rsidR="008C1D0F">
              <w:rPr>
                <w:rFonts w:ascii="Times New Roman" w:eastAsia="Calibri" w:hAnsi="Times New Roman" w:cs="Times New Roman"/>
                <w:szCs w:val="28"/>
                <w:lang w:eastAsia="en-US"/>
              </w:rPr>
              <w:t>2022 г.</w:t>
            </w:r>
          </w:p>
        </w:tc>
      </w:tr>
    </w:tbl>
    <w:p w:rsidR="00C25601" w:rsidRDefault="00C25601">
      <w:pPr>
        <w:spacing w:line="360" w:lineRule="auto"/>
        <w:rPr>
          <w:rFonts w:ascii="Times New Roman" w:hAnsi="Times New Roman" w:cs="Times New Roman"/>
          <w:b/>
          <w:caps/>
          <w:szCs w:val="28"/>
        </w:rPr>
      </w:pPr>
    </w:p>
    <w:p w:rsidR="00C25601" w:rsidRDefault="00C25601">
      <w:pPr>
        <w:jc w:val="center"/>
        <w:rPr>
          <w:rFonts w:ascii="Times New Roman" w:hAnsi="Times New Roman" w:cs="Times New Roman"/>
          <w:b/>
          <w:caps/>
          <w:szCs w:val="28"/>
        </w:rPr>
      </w:pPr>
    </w:p>
    <w:p w:rsidR="00C25601" w:rsidRDefault="008C1D0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</w:rPr>
        <w:t xml:space="preserve">В.А. Дмитриев, А.Д. Кулаков, Е.В. Мелешко, Н.А. Чернышова </w:t>
      </w: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ОЦЕНКА ЭФФЕКТИВНОСТИ ПРОЕКТОВ </w:t>
      </w:r>
    </w:p>
    <w:p w:rsidR="00C25601" w:rsidRDefault="008C1D0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</w:rPr>
        <w:t>ГОСУДАРСТВЕННО - ЧАСТНОГО ПАРТНЕРСТВА</w:t>
      </w:r>
    </w:p>
    <w:p w:rsidR="00C25601" w:rsidRDefault="00C25601">
      <w:pPr>
        <w:jc w:val="center"/>
        <w:rPr>
          <w:rFonts w:ascii="Times New Roman" w:hAnsi="Times New Roman" w:cs="Times New Roman"/>
          <w:szCs w:val="28"/>
        </w:rPr>
      </w:pPr>
    </w:p>
    <w:p w:rsidR="00C25601" w:rsidRDefault="008C1D0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Рабочая программа дисциплины </w:t>
      </w:r>
    </w:p>
    <w:p w:rsidR="00C25601" w:rsidRDefault="008C1D0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для студентов, обучающихся по направлению подготовки</w:t>
      </w:r>
    </w:p>
    <w:p w:rsidR="00C25601" w:rsidRDefault="008C1D0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38.04.02 «Менеджмент»</w:t>
      </w:r>
    </w:p>
    <w:p w:rsidR="00C25601" w:rsidRDefault="00C25601">
      <w:pPr>
        <w:jc w:val="center"/>
        <w:rPr>
          <w:rFonts w:ascii="Times New Roman" w:hAnsi="Times New Roman" w:cs="Times New Roman"/>
          <w:szCs w:val="28"/>
        </w:rPr>
      </w:pPr>
    </w:p>
    <w:p w:rsidR="00C25601" w:rsidRDefault="008C1D0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trike/>
          <w:szCs w:val="28"/>
        </w:rPr>
        <w:t xml:space="preserve"> </w:t>
      </w:r>
    </w:p>
    <w:p w:rsidR="00C25601" w:rsidRDefault="008C1D0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«Управление проектами государственно-частного партнерства»</w:t>
      </w:r>
    </w:p>
    <w:p w:rsidR="00C25601" w:rsidRDefault="00C25601">
      <w:pPr>
        <w:jc w:val="center"/>
        <w:rPr>
          <w:rFonts w:ascii="Times New Roman" w:hAnsi="Times New Roman" w:cs="Times New Roman"/>
          <w:i/>
        </w:rPr>
      </w:pPr>
    </w:p>
    <w:p w:rsidR="00FC725C" w:rsidRDefault="00FC725C" w:rsidP="00FC72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Cs w:val="28"/>
        </w:rPr>
        <w:t>Рекомендовано Ученым советом Ф</w:t>
      </w:r>
      <w:r>
        <w:rPr>
          <w:rFonts w:ascii="Times New Roman" w:hAnsi="Times New Roman" w:cs="Times New Roman"/>
          <w:i/>
          <w:szCs w:val="28"/>
        </w:rPr>
        <w:t>акультета «Высшая школа управления»</w:t>
      </w:r>
    </w:p>
    <w:p w:rsidR="00FC725C" w:rsidRDefault="00FC725C" w:rsidP="00FC725C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 (протокол № 24   от 24.11.2022 г.)</w:t>
      </w:r>
    </w:p>
    <w:p w:rsidR="00FC725C" w:rsidRDefault="00FC725C" w:rsidP="00FC725C">
      <w:pPr>
        <w:jc w:val="center"/>
        <w:rPr>
          <w:rFonts w:ascii="Times New Roman" w:hAnsi="Times New Roman" w:cs="Times New Roman"/>
          <w:szCs w:val="28"/>
        </w:rPr>
      </w:pPr>
    </w:p>
    <w:p w:rsidR="00FC725C" w:rsidRDefault="00FC725C" w:rsidP="00FC725C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Одобрено заседанием кафедры «Государственно-частное партнерство» </w:t>
      </w:r>
    </w:p>
    <w:p w:rsidR="00FC725C" w:rsidRDefault="00FC725C" w:rsidP="00FC725C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>(протокол № 02  от 15.11.2022 г.)</w:t>
      </w:r>
    </w:p>
    <w:p w:rsidR="00C25601" w:rsidRDefault="00C25601">
      <w:pPr>
        <w:spacing w:line="360" w:lineRule="auto"/>
        <w:jc w:val="center"/>
        <w:rPr>
          <w:rFonts w:ascii="Times New Roman" w:hAnsi="Times New Roman" w:cs="Times New Roman"/>
          <w:color w:val="000000"/>
          <w:szCs w:val="28"/>
        </w:rPr>
      </w:pPr>
    </w:p>
    <w:p w:rsidR="00C25601" w:rsidRDefault="00C25601">
      <w:pPr>
        <w:spacing w:line="360" w:lineRule="auto"/>
        <w:jc w:val="center"/>
        <w:rPr>
          <w:rFonts w:ascii="Times New Roman" w:hAnsi="Times New Roman" w:cs="Times New Roman"/>
          <w:color w:val="000000"/>
          <w:szCs w:val="28"/>
        </w:rPr>
      </w:pPr>
    </w:p>
    <w:p w:rsidR="00C25601" w:rsidRDefault="008C1D0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>Москва 2022</w:t>
      </w:r>
    </w:p>
    <w:p w:rsidR="00C25601" w:rsidRDefault="008C1D0F">
      <w:pPr>
        <w:spacing w:before="240" w:after="24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Содержание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1.</w:t>
      </w:r>
      <w:r>
        <w:rPr>
          <w:rFonts w:ascii="Times New Roman" w:hAnsi="Times New Roman"/>
          <w:b w:val="0"/>
          <w:color w:val="auto"/>
        </w:rPr>
        <w:tab/>
        <w:t>Наименование дисциплины………………………………………………....2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2.</w:t>
      </w:r>
      <w:r>
        <w:rPr>
          <w:rFonts w:ascii="Times New Roman" w:hAnsi="Times New Roman"/>
          <w:b w:val="0"/>
          <w:color w:val="auto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дисциплине………………….……........2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3.</w:t>
      </w:r>
      <w:r>
        <w:rPr>
          <w:rFonts w:ascii="Times New Roman" w:hAnsi="Times New Roman"/>
          <w:b w:val="0"/>
          <w:color w:val="auto"/>
        </w:rPr>
        <w:tab/>
        <w:t>Место дисциплины в структуре образовательной программы…………...4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4.</w:t>
      </w:r>
      <w:r>
        <w:rPr>
          <w:rFonts w:ascii="Times New Roman" w:hAnsi="Times New Roman"/>
          <w:b w:val="0"/>
          <w:color w:val="auto"/>
        </w:rPr>
        <w:tab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………………………………………………………………4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5.</w:t>
      </w:r>
      <w:r>
        <w:rPr>
          <w:rFonts w:ascii="Times New Roman" w:hAnsi="Times New Roman"/>
          <w:b w:val="0"/>
          <w:color w:val="auto"/>
        </w:rPr>
        <w:tab/>
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занятий………………………………………………………………………………5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6.</w:t>
      </w:r>
      <w:r>
        <w:rPr>
          <w:rFonts w:ascii="Times New Roman" w:hAnsi="Times New Roman"/>
          <w:b w:val="0"/>
          <w:color w:val="auto"/>
        </w:rPr>
        <w:tab/>
        <w:t>Перечень учебно-методического обеспечения для самостоятельной работы обучающихся по дисциплине……………………………………………11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7.</w:t>
      </w:r>
      <w:r>
        <w:rPr>
          <w:rFonts w:ascii="Times New Roman" w:hAnsi="Times New Roman"/>
          <w:b w:val="0"/>
          <w:color w:val="auto"/>
        </w:rPr>
        <w:tab/>
        <w:t>Фонд оценочных средств для проведения промежуточной аттестации обучающихся по дисциплине</w:t>
      </w:r>
      <w:r>
        <w:rPr>
          <w:rFonts w:ascii="Times New Roman" w:hAnsi="Times New Roman"/>
          <w:b w:val="0"/>
          <w:color w:val="auto"/>
        </w:rPr>
        <w:tab/>
        <w:t>…………………………………………………….14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8.</w:t>
      </w:r>
      <w:r>
        <w:rPr>
          <w:rFonts w:ascii="Times New Roman" w:hAnsi="Times New Roman"/>
          <w:b w:val="0"/>
          <w:color w:val="auto"/>
        </w:rPr>
        <w:tab/>
        <w:t>Перечень основной и дополнительной учебной литературы, необходимой для освоения дисциплины………………………………………………………...28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9.</w:t>
      </w:r>
      <w:r>
        <w:rPr>
          <w:rFonts w:ascii="Times New Roman" w:hAnsi="Times New Roman"/>
          <w:b w:val="0"/>
          <w:color w:val="auto"/>
        </w:rPr>
        <w:tab/>
        <w:t>Перечень ресурсов информационно-телекоммуникационной сети «Интернет», необходимых для освоения дисциплины…………………………33</w:t>
      </w:r>
    </w:p>
    <w:p w:rsidR="00C25601" w:rsidRDefault="008C1D0F">
      <w:pPr>
        <w:pStyle w:val="aff1"/>
        <w:spacing w:before="0" w:after="6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10. Методические указания для обучающихся по освоению дисциплины…....33   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………...36</w:t>
      </w:r>
    </w:p>
    <w:p w:rsidR="00C25601" w:rsidRDefault="008C1D0F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дисциплине……………………………………..36</w:t>
      </w:r>
    </w:p>
    <w:p w:rsidR="00C25601" w:rsidRDefault="00C25601">
      <w:pPr>
        <w:pStyle w:val="aff1"/>
        <w:spacing w:before="0" w:after="60"/>
        <w:rPr>
          <w:rFonts w:ascii="Times New Roman" w:hAnsi="Times New Roman"/>
          <w:b w:val="0"/>
        </w:rPr>
      </w:pPr>
    </w:p>
    <w:p w:rsidR="00C25601" w:rsidRDefault="00C25601">
      <w:pPr>
        <w:spacing w:before="240" w:after="240" w:line="360" w:lineRule="auto"/>
        <w:ind w:firstLine="709"/>
        <w:jc w:val="both"/>
        <w:rPr>
          <w:rFonts w:ascii="Times New Roman" w:hAnsi="Times New Roman" w:cs="Times New Roman"/>
        </w:rPr>
      </w:pPr>
    </w:p>
    <w:p w:rsidR="00C25601" w:rsidRDefault="00C25601">
      <w:pPr>
        <w:spacing w:before="240" w:after="240" w:line="276" w:lineRule="auto"/>
        <w:jc w:val="center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C25601">
      <w:pPr>
        <w:spacing w:before="240" w:after="240" w:line="276" w:lineRule="auto"/>
        <w:jc w:val="center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C25601">
      <w:pPr>
        <w:spacing w:before="240" w:after="240" w:line="276" w:lineRule="auto"/>
        <w:jc w:val="center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C25601">
      <w:pPr>
        <w:numPr>
          <w:ilvl w:val="0"/>
          <w:numId w:val="7"/>
        </w:numPr>
        <w:spacing w:before="240" w:after="240" w:line="276" w:lineRule="auto"/>
        <w:jc w:val="center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C25601">
      <w:pPr>
        <w:numPr>
          <w:ilvl w:val="0"/>
          <w:numId w:val="7"/>
        </w:numPr>
        <w:spacing w:before="240" w:after="240" w:line="276" w:lineRule="auto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8C1D0F">
      <w:pPr>
        <w:numPr>
          <w:ilvl w:val="0"/>
          <w:numId w:val="7"/>
        </w:numPr>
        <w:spacing w:before="240" w:after="240" w:line="276" w:lineRule="auto"/>
        <w:outlineLvl w:val="0"/>
        <w:rPr>
          <w:rFonts w:ascii="Times New Roman" w:hAnsi="Times New Roman" w:cs="Times New Roman"/>
          <w:b/>
          <w:bCs/>
          <w:szCs w:val="28"/>
        </w:rPr>
      </w:pPr>
      <w:bookmarkStart w:id="1" w:name="__RefHeading___Toc90401413"/>
      <w:bookmarkEnd w:id="1"/>
      <w:r>
        <w:rPr>
          <w:rFonts w:ascii="Times New Roman" w:hAnsi="Times New Roman" w:cs="Times New Roman"/>
          <w:b/>
          <w:szCs w:val="28"/>
          <w:lang w:eastAsia="en-US"/>
        </w:rPr>
        <w:t>1. Наименование дисциплины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Дисциплина «Оценка эффективности проектов государственно-частного партнерства».</w:t>
      </w:r>
    </w:p>
    <w:p w:rsidR="00C25601" w:rsidRDefault="008C1D0F">
      <w:pPr>
        <w:numPr>
          <w:ilvl w:val="0"/>
          <w:numId w:val="7"/>
        </w:numPr>
        <w:spacing w:before="240" w:after="240" w:line="360" w:lineRule="auto"/>
        <w:jc w:val="both"/>
        <w:outlineLvl w:val="0"/>
        <w:rPr>
          <w:rFonts w:ascii="Times New Roman" w:hAnsi="Times New Roman" w:cs="Times New Roman"/>
          <w:b/>
          <w:bCs/>
          <w:szCs w:val="28"/>
        </w:rPr>
      </w:pPr>
      <w:bookmarkStart w:id="2" w:name="__RefHeading___Toc90401414"/>
      <w:bookmarkEnd w:id="2"/>
      <w:r>
        <w:rPr>
          <w:rFonts w:ascii="Times New Roman" w:hAnsi="Times New Roman" w:cs="Times New Roman"/>
          <w:b/>
          <w:bCs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25601" w:rsidRDefault="00C256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095"/>
        <w:gridCol w:w="2129"/>
        <w:gridCol w:w="2727"/>
        <w:gridCol w:w="4222"/>
      </w:tblGrid>
      <w:tr w:rsidR="00C25601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5601"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ПК-2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Способность к инициированию и организации продвижения социально-значимых проектов, к 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с использованием механизмов ГЧП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1.Демонстрирует навыки анализа рынка инвесторов и операторов, а также понимает мотивы участия бизнеса в решении социально значимых проблем развития субъектов Российской Федерации и муниципальных образований.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мотивы участия бизнеса в решении социально значимых проблем развития субъектов Российской Федерации и муниципальных образований;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рынок инвесторов и операторов.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2.Владеет навыками организации проектов ГЧП в различных отраслях инфраструктуры.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структурирования проектов ГЧП;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структурировать проекты ГЧП в различных отраслях инфраструктуры.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3.Применяет лучшие зарубежные и российские практики по привлечению частных партнеров, в т.ч. инвесторов, в проекты ГЧП.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лучшие зарубежные и российские практики по привлечению частных партнеров, в т.ч. инвесторов, в проекты ГЧП.</w:t>
            </w:r>
          </w:p>
        </w:tc>
      </w:tr>
      <w:tr w:rsidR="00C25601"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ПК-3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Способность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осуществлять оценку бюджетной, финансовой и социально-экономической эффективности и обоснование выбора оптимальной формы реализации проекта ГЧП</w:t>
            </w:r>
          </w:p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1. Демонстрирует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знание источников и инструментов финансирования проектов ГЧП на каждой стадии жизненного цикла проекта.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знать: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источники и инструментов финансирования проектов ГЧП на каждой стадии жизненного цикла проекта;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•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ab/>
              <w:t>проводить комплексный анализ рынка проектов ГЧП/МЧП.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 Использует навыки оценки эффективности и обоснования выбора модели реализации проекта.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оценки эффективности и обоснования выбора модели реализации проекта;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оценку бюджетной, финансовой и социально – экономической эффективности;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обосновать выбор оптимальной формы реализации проекта ГЧП/МЧП.</w:t>
            </w:r>
          </w:p>
        </w:tc>
      </w:tr>
      <w:tr w:rsidR="00C25601"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ПКН-3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Способность осуществлять оценку эффективности и результативности деятельности организации в целом и  отдельных проектов, разрабатывать для этого методики оценки  и необходимые показатели с учетом факторов риска и в условиях неопределенности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numPr>
                <w:ilvl w:val="0"/>
                <w:numId w:val="8"/>
              </w:numPr>
              <w:tabs>
                <w:tab w:val="clear" w:pos="708"/>
                <w:tab w:val="left" w:pos="360"/>
              </w:tabs>
              <w:ind w:firstLine="3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оценку эффективности и результативности деятельности организации в целом и отдельных проектов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расчёты эффективности и уметь дать обоснования управленческим решениям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numPr>
                <w:ilvl w:val="0"/>
                <w:numId w:val="8"/>
              </w:numPr>
              <w:tabs>
                <w:tab w:val="clear" w:pos="708"/>
                <w:tab w:val="left" w:pos="360"/>
              </w:tabs>
              <w:ind w:firstLine="3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количественного и качественного анализа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инструменты анализа в целях разработки мероприятий по совершенствованию их деятельности</w:t>
            </w:r>
          </w:p>
        </w:tc>
      </w:tr>
      <w:tr w:rsidR="00C25601">
        <w:trPr>
          <w:trHeight w:val="70"/>
        </w:trPr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numPr>
                <w:ilvl w:val="0"/>
                <w:numId w:val="8"/>
              </w:numPr>
              <w:tabs>
                <w:tab w:val="clear" w:pos="708"/>
                <w:tab w:val="left" w:pos="360"/>
              </w:tabs>
              <w:ind w:firstLine="3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Разрабатывает систему диагностики и выявления негативных факторов развития бизнеса организации.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подходы к выявлению негативных факторов развития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разработать систему диагностики для развития бизнеса организации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numPr>
                <w:ilvl w:val="0"/>
                <w:numId w:val="8"/>
              </w:numPr>
              <w:tabs>
                <w:tab w:val="clear" w:pos="708"/>
                <w:tab w:val="left" w:pos="360"/>
              </w:tabs>
              <w:ind w:firstLine="3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Реализует способность принятия и реализации управленческих решений, направленных на снижение вероятности возникновения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неблагоприятного результата и минимизацию возможных потерь проекта, вызванных его реализацией.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инструменты и классификацию управленческих решений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необходимые управленческие решения в целях минимизации возможных потерь проекта</w:t>
            </w:r>
          </w:p>
        </w:tc>
      </w:tr>
      <w:tr w:rsidR="00C25601"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numPr>
                <w:ilvl w:val="0"/>
                <w:numId w:val="8"/>
              </w:numPr>
              <w:tabs>
                <w:tab w:val="clear" w:pos="708"/>
                <w:tab w:val="left" w:pos="360"/>
              </w:tabs>
              <w:ind w:firstLine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Разрабатывает  методы анализа эффективности  реализации экономических проектов, а также методики их оценки.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методики оценки и анализа эффективности проектов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оценивать эффективность экономических проектов</w:t>
            </w:r>
          </w:p>
        </w:tc>
      </w:tr>
    </w:tbl>
    <w:p w:rsidR="00C25601" w:rsidRDefault="008C1D0F">
      <w:pPr>
        <w:spacing w:before="240" w:after="240" w:line="360" w:lineRule="auto"/>
        <w:outlineLvl w:val="0"/>
        <w:rPr>
          <w:rFonts w:ascii="Times New Roman" w:hAnsi="Times New Roman" w:cs="Times New Roman"/>
          <w:szCs w:val="28"/>
        </w:rPr>
      </w:pPr>
      <w:bookmarkStart w:id="3" w:name="__RefHeading___Toc90401415"/>
      <w:bookmarkEnd w:id="3"/>
      <w:r>
        <w:rPr>
          <w:rFonts w:ascii="Times New Roman" w:hAnsi="Times New Roman" w:cs="Times New Roman"/>
          <w:b/>
          <w:szCs w:val="28"/>
        </w:rPr>
        <w:t xml:space="preserve">3. Место дисциплины в структуре образовательной программы </w:t>
      </w:r>
    </w:p>
    <w:p w:rsidR="00C25601" w:rsidRDefault="008C1D0F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Дисциплина «Оценка эффективности проектов государственно-частного партнерства» является обязательной дисциплиной направленности программы магистратуры «Управление проектами государственно-частного партнерства» (направление подготовки: 38.04.02 - «Менеджмент»).</w:t>
      </w:r>
    </w:p>
    <w:p w:rsidR="00C25601" w:rsidRDefault="008C1D0F">
      <w:pPr>
        <w:spacing w:before="240" w:after="240" w:line="36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bookmarkStart w:id="4" w:name="__RefHeading___Toc90401416"/>
      <w:bookmarkEnd w:id="4"/>
      <w:r>
        <w:rPr>
          <w:rFonts w:ascii="Times New Roman" w:hAnsi="Times New Roman" w:cs="Times New Roman"/>
          <w:b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25601" w:rsidRDefault="008C1D0F">
      <w:pPr>
        <w:keepNext/>
        <w:ind w:left="567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1</w:t>
      </w:r>
    </w:p>
    <w:p w:rsidR="00C25601" w:rsidRDefault="00C25601">
      <w:pPr>
        <w:keepNext/>
        <w:ind w:left="1134"/>
        <w:jc w:val="right"/>
        <w:outlineLvl w:val="2"/>
        <w:rPr>
          <w:rFonts w:ascii="Times New Roman" w:hAnsi="Times New Roman" w:cs="Times New Roman"/>
        </w:rPr>
      </w:pPr>
    </w:p>
    <w:tbl>
      <w:tblPr>
        <w:tblW w:w="9947" w:type="dxa"/>
        <w:jc w:val="center"/>
        <w:tblLayout w:type="fixed"/>
        <w:tblLook w:val="04A0" w:firstRow="1" w:lastRow="0" w:firstColumn="1" w:lastColumn="0" w:noHBand="0" w:noVBand="1"/>
      </w:tblPr>
      <w:tblGrid>
        <w:gridCol w:w="4916"/>
        <w:gridCol w:w="2501"/>
        <w:gridCol w:w="2530"/>
      </w:tblGrid>
      <w:tr w:rsidR="00C25601">
        <w:trPr>
          <w:trHeight w:val="547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Вид учебной работы по дисциплине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  <w:p w:rsidR="00C25601" w:rsidRDefault="008C1D0F">
            <w:pPr>
              <w:pStyle w:val="aff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з/е и часах)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Модуль 4</w:t>
            </w:r>
          </w:p>
          <w:p w:rsidR="00C25601" w:rsidRDefault="008C1D0F">
            <w:pPr>
              <w:pStyle w:val="aff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часах)</w:t>
            </w:r>
          </w:p>
        </w:tc>
      </w:tr>
      <w:tr w:rsidR="00C25601">
        <w:trPr>
          <w:trHeight w:val="534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Общая трудоемкость дисциплины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3/108</w:t>
            </w:r>
          </w:p>
          <w:p w:rsidR="00C25601" w:rsidRDefault="00C25601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108</w:t>
            </w:r>
          </w:p>
          <w:p w:rsidR="00C25601" w:rsidRDefault="00C25601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C25601">
        <w:trPr>
          <w:trHeight w:val="267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  <w:t>Контактная работа - Аудиторные занятия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30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30</w:t>
            </w:r>
          </w:p>
        </w:tc>
      </w:tr>
      <w:tr w:rsidR="00C25601">
        <w:trPr>
          <w:trHeight w:val="267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8"/>
              </w:rPr>
              <w:t>Лекции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10</w:t>
            </w:r>
          </w:p>
        </w:tc>
      </w:tr>
      <w:tr w:rsidR="00C25601">
        <w:trPr>
          <w:trHeight w:val="70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8"/>
              </w:rPr>
              <w:t>Семинары, практические занятия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</w:t>
            </w:r>
          </w:p>
        </w:tc>
      </w:tr>
      <w:tr w:rsidR="00C25601">
        <w:trPr>
          <w:trHeight w:val="267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78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78</w:t>
            </w:r>
          </w:p>
        </w:tc>
      </w:tr>
      <w:tr w:rsidR="00C25601">
        <w:trPr>
          <w:trHeight w:val="280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Вид текущего контроля</w:t>
            </w:r>
          </w:p>
        </w:tc>
        <w:tc>
          <w:tcPr>
            <w:tcW w:w="5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контрольная работа</w:t>
            </w:r>
          </w:p>
        </w:tc>
      </w:tr>
      <w:tr w:rsidR="00C25601">
        <w:trPr>
          <w:trHeight w:val="254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5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зачет</w:t>
            </w:r>
          </w:p>
        </w:tc>
      </w:tr>
    </w:tbl>
    <w:p w:rsidR="00C25601" w:rsidRDefault="00C25601">
      <w:pPr>
        <w:ind w:firstLine="851"/>
        <w:jc w:val="both"/>
        <w:rPr>
          <w:rFonts w:ascii="Times New Roman" w:hAnsi="Times New Roman" w:cs="Times New Roman"/>
          <w:szCs w:val="28"/>
          <w:lang w:eastAsia="en-US"/>
        </w:rPr>
      </w:pPr>
    </w:p>
    <w:p w:rsidR="00C25601" w:rsidRDefault="008C1D0F">
      <w:pPr>
        <w:pStyle w:val="1"/>
        <w:numPr>
          <w:ilvl w:val="0"/>
          <w:numId w:val="0"/>
        </w:numPr>
        <w:spacing w:after="24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25601" w:rsidRDefault="008C1D0F">
      <w:pPr>
        <w:pStyle w:val="2"/>
        <w:numPr>
          <w:ilvl w:val="0"/>
          <w:numId w:val="0"/>
        </w:numPr>
        <w:spacing w:line="240" w:lineRule="auto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5.1. Содержание дисциплины</w:t>
      </w:r>
    </w:p>
    <w:p w:rsidR="00C25601" w:rsidRDefault="00C2560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1. Теоретические основы дисциплины. Основные экономические категории и положения инвестиционного проектирования.</w:t>
      </w:r>
    </w:p>
    <w:p w:rsidR="00C25601" w:rsidRDefault="008C1D0F">
      <w:pPr>
        <w:widowControl w:val="0"/>
        <w:spacing w:line="360" w:lineRule="auto"/>
        <w:ind w:left="12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Концепция отложенного потребления и экономическая целесообразность инвестиций. </w:t>
      </w:r>
      <w:r>
        <w:rPr>
          <w:rFonts w:ascii="Times New Roman" w:hAnsi="Times New Roman" w:cs="Times New Roman"/>
        </w:rPr>
        <w:t xml:space="preserve">Понятие, экономическая сущность и виды инвестиций. Классификация инвестиций: реальные и портфельные. Инвестиционный проект в системе экономических отношений: рынок инвестиционных проектов, отношения собственности в рамках инвестиционного проекта, кругооборот капитала, </w:t>
      </w:r>
      <w:bookmarkStart w:id="5" w:name="page21"/>
      <w:bookmarkEnd w:id="5"/>
      <w:r>
        <w:rPr>
          <w:rFonts w:ascii="Times New Roman" w:hAnsi="Times New Roman" w:cs="Times New Roman"/>
        </w:rPr>
        <w:t>авансированного</w:t>
      </w:r>
      <w:r>
        <w:rPr>
          <w:rFonts w:ascii="Times New Roman" w:hAnsi="Times New Roman" w:cs="Times New Roman"/>
        </w:rPr>
        <w:tab/>
        <w:t>в   проект.   Стоимость   инвестиционного   капитала   и стоимость проекта.</w:t>
      </w:r>
    </w:p>
    <w:p w:rsidR="00C25601" w:rsidRDefault="008C1D0F">
      <w:pPr>
        <w:widowControl w:val="0"/>
        <w:spacing w:line="360" w:lineRule="auto"/>
        <w:ind w:left="12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hyperlink r:id="rId7">
        <w:r>
          <w:rPr>
            <w:rFonts w:ascii="Times New Roman" w:hAnsi="Times New Roman" w:cs="Times New Roman"/>
            <w:color w:val="000000"/>
            <w:szCs w:val="28"/>
          </w:rPr>
          <w:t xml:space="preserve">Основные положения инвестиционного проектирования. </w:t>
        </w:r>
      </w:hyperlink>
      <w:r>
        <w:rPr>
          <w:rFonts w:ascii="Times New Roman" w:hAnsi="Times New Roman" w:cs="Times New Roman"/>
          <w:szCs w:val="28"/>
        </w:rPr>
        <w:t xml:space="preserve"> Виды инвестиционных проектов, стадия разработки и анализа проекта. Общая последовательность разработки и анализа проекта. Анализ коммерческой выполнимости проекта. Технический анализ. Финансовый анализ. Экономический анализ. Институциональный анализ. Анализ риска. Инвестиционный проект, направленный на развитие общественной инфраструктуры. Особенности инфраструктурного проекта. Особенности проекта государственно-частного партнерства. </w:t>
      </w:r>
    </w:p>
    <w:p w:rsidR="00C25601" w:rsidRDefault="008C1D0F">
      <w:pPr>
        <w:widowControl w:val="0"/>
        <w:spacing w:line="360" w:lineRule="auto"/>
        <w:ind w:left="12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</w:rPr>
        <w:t xml:space="preserve">Тема 2. </w:t>
      </w:r>
      <w:hyperlink r:id="rId8">
        <w:r>
          <w:rPr>
            <w:rFonts w:ascii="Times New Roman" w:hAnsi="Times New Roman" w:cs="Times New Roman"/>
            <w:b/>
            <w:color w:val="000000"/>
            <w:szCs w:val="28"/>
          </w:rPr>
          <w:t xml:space="preserve"> Понятие и виды эффективности инвестиционного проекта. Основные критерии эффективности инвестиционного проекта и методы их оценки</w:t>
        </w:r>
      </w:hyperlink>
      <w:r>
        <w:rPr>
          <w:rFonts w:ascii="Times New Roman" w:hAnsi="Times New Roman" w:cs="Times New Roman"/>
          <w:b/>
          <w:color w:val="000000"/>
          <w:szCs w:val="28"/>
        </w:rPr>
        <w:t>.</w:t>
      </w:r>
    </w:p>
    <w:p w:rsidR="00C25601" w:rsidRDefault="008C1D0F">
      <w:pPr>
        <w:widowControl w:val="0"/>
        <w:tabs>
          <w:tab w:val="left" w:pos="226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</w:rPr>
        <w:t>Основные</w:t>
      </w:r>
      <w:r>
        <w:rPr>
          <w:rFonts w:ascii="Times New Roman" w:hAnsi="Times New Roman" w:cs="Times New Roman"/>
        </w:rPr>
        <w:tab/>
        <w:t>критерии   эффективности   инвестиционного   проекта.</w:t>
      </w:r>
    </w:p>
    <w:p w:rsidR="00C25601" w:rsidRDefault="008C1D0F">
      <w:pPr>
        <w:widowControl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Содержание и специфика оценки коммерческой, общественной, бюджетной и финансовой эффективности проектов. Влияние общественного эффекта проекта на его коммерческую эффективность. </w:t>
      </w:r>
    </w:p>
    <w:p w:rsidR="00C25601" w:rsidRDefault="008C1D0F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Понятия инвестиционной привлекательности, потенциала и рисков проекта. Методы оценки эффективности инвестиционного проекта и их классификация. Простейшие методы оценки привлекательности инвестиций. Использование методов иерархий и парных сравнений при анализе качественных характеристик инвестиционных проектов.</w:t>
      </w:r>
    </w:p>
    <w:p w:rsidR="00C25601" w:rsidRDefault="008C1D0F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оценки эффективности инвестиций, основанные на дисконтировании денежных потоков. Показатели для оценки эффективности проекта: чистая текущая стоимость проекта, внутренняя норма прибыли, рентабельность инвестиций.</w:t>
      </w:r>
    </w:p>
    <w:p w:rsidR="00C25601" w:rsidRDefault="008C1D0F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оценки конкурирующих инвестиций: взаимоисключающие инвестиции, применение показателя компаратора государственного сектора, учет различий в сроках жизни проектов, метод затратной эффективности.</w:t>
      </w:r>
    </w:p>
    <w:p w:rsidR="00C25601" w:rsidRDefault="008C1D0F">
      <w:pPr>
        <w:widowControl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этапы финансово-экономического анализа проектов ГЧП. Критерии и методы выбора инвестиционных альтернатив. Рейтинговая оценка привлекательности проекта ГЧП.</w:t>
      </w:r>
    </w:p>
    <w:p w:rsidR="00C25601" w:rsidRDefault="008C1D0F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Тема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3.   Особенности    анализа    эффективности    проектов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государственно-частного партнерства с позиций публичного сектора. </w:t>
      </w:r>
      <w:r>
        <w:rPr>
          <w:rFonts w:ascii="Times New Roman" w:hAnsi="Times New Roman" w:cs="Times New Roman"/>
          <w:b/>
        </w:rPr>
        <w:t xml:space="preserve">Международные подходы к оценке социально-экономической эффективности инвестиционных проектов.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C25601" w:rsidRDefault="008C1D0F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Особая роль проектов государственно-частного партнерства в системе рыночных отношений и критерии их эффективности. Влияние бюджетных ограничений на инвестиционные планы и программы развития территорий.  Использование компаратора государственного сектора при подготовке и реализации инвестиционных программ с использованием механизмов ГЧП. Оценка социально- экономической эффективности. Оценка бюджетной эффективности. Оценка косвенных эффектов. </w:t>
      </w:r>
      <w:bookmarkStart w:id="6" w:name="page25"/>
      <w:bookmarkEnd w:id="6"/>
      <w:r>
        <w:rPr>
          <w:rFonts w:ascii="Times New Roman" w:hAnsi="Times New Roman" w:cs="Times New Roman"/>
        </w:rPr>
        <w:t xml:space="preserve"> Особенности анализа эффективности проектов при применении различных моделей государственно-частного партнерства.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lastRenderedPageBreak/>
        <w:t>Основные международные методы (подходы) к оценке эффективности проектов и их особенности: анализ «затраты-результативность»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effectiveness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CEA</w:t>
      </w:r>
      <w:r>
        <w:rPr>
          <w:rFonts w:ascii="Times New Roman" w:hAnsi="Times New Roman" w:cs="Times New Roman"/>
          <w:bCs/>
          <w:szCs w:val="28"/>
        </w:rPr>
        <w:t>)); анализ «затраты-полезность»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utility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CUA</w:t>
      </w:r>
      <w:r>
        <w:rPr>
          <w:rFonts w:ascii="Times New Roman" w:hAnsi="Times New Roman" w:cs="Times New Roman"/>
          <w:bCs/>
          <w:szCs w:val="28"/>
        </w:rPr>
        <w:t>)); анализ «затраты-взвешенная результативность» (</w:t>
      </w:r>
      <w:r>
        <w:rPr>
          <w:rFonts w:ascii="Times New Roman" w:hAnsi="Times New Roman" w:cs="Times New Roman"/>
          <w:bCs/>
          <w:szCs w:val="28"/>
          <w:lang w:val="en-US"/>
        </w:rPr>
        <w:t>weighted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effectiveness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WCEA</w:t>
      </w:r>
      <w:r>
        <w:rPr>
          <w:rFonts w:ascii="Times New Roman" w:hAnsi="Times New Roman" w:cs="Times New Roman"/>
          <w:bCs/>
          <w:szCs w:val="28"/>
        </w:rPr>
        <w:t>)); анализ «затраты-выгоды»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benefit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CBA</w:t>
      </w:r>
      <w:r>
        <w:rPr>
          <w:rFonts w:ascii="Times New Roman" w:hAnsi="Times New Roman" w:cs="Times New Roman"/>
          <w:bCs/>
          <w:szCs w:val="28"/>
        </w:rPr>
        <w:t xml:space="preserve">)). </w:t>
      </w:r>
      <w:r>
        <w:rPr>
          <w:rFonts w:ascii="Times New Roman" w:hAnsi="Times New Roman" w:cs="Times New Roman"/>
          <w:szCs w:val="28"/>
        </w:rPr>
        <w:t>Методология оценки затрат и выгод (</w:t>
      </w:r>
      <w:r>
        <w:rPr>
          <w:rFonts w:ascii="Times New Roman" w:hAnsi="Times New Roman" w:cs="Times New Roman"/>
          <w:szCs w:val="28"/>
          <w:lang w:val="en-US"/>
        </w:rPr>
        <w:t>Cost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Benefit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Analysis</w:t>
      </w:r>
      <w:r>
        <w:rPr>
          <w:rFonts w:ascii="Times New Roman" w:hAnsi="Times New Roman" w:cs="Times New Roman"/>
          <w:szCs w:val="28"/>
        </w:rPr>
        <w:t xml:space="preserve">): принципы метода </w:t>
      </w:r>
      <w:r>
        <w:rPr>
          <w:rFonts w:ascii="Times New Roman" w:hAnsi="Times New Roman" w:cs="Times New Roman"/>
          <w:szCs w:val="28"/>
          <w:lang w:val="en-US"/>
        </w:rPr>
        <w:t>CBA</w:t>
      </w:r>
      <w:r>
        <w:rPr>
          <w:rFonts w:ascii="Times New Roman" w:hAnsi="Times New Roman" w:cs="Times New Roman"/>
          <w:szCs w:val="28"/>
        </w:rPr>
        <w:t xml:space="preserve">. </w:t>
      </w:r>
      <w:r>
        <w:rPr>
          <w:rFonts w:ascii="Times New Roman" w:hAnsi="Times New Roman" w:cs="Times New Roman"/>
          <w:szCs w:val="28"/>
          <w:lang w:eastAsia="ru-RU"/>
        </w:rPr>
        <w:t xml:space="preserve">Этапы проведения оценки инвестиционных проектов (в соответствии с руководством Европейской комиссии). </w:t>
      </w:r>
      <w:r>
        <w:rPr>
          <w:rFonts w:ascii="Times New Roman" w:hAnsi="Times New Roman" w:cs="Times New Roman"/>
          <w:szCs w:val="28"/>
        </w:rPr>
        <w:t>Сравнение методов оценки социальной ставки дисконтирования (SRTP и SOC).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4. Методологические основы существующих в России подходов к оценке эффективности инвестиционных проектов. Методика оценки эффективности и определение сравнительного преимущества проекта государственно-частного партнерства.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Эволюция российских методологических подходов к оценке эффективности инвестиционных проектов (история вопроса 1993-2014 гг). Обзор нормативных актов, в которых закрепляется критерии, правила, рекомендации по оценке эффективности инвестиционных проектов (о государственной инвестиционной программе; методические рекомендации по оценке эффективности инвестиционных проектов и их отбору для финансирования; правила формирования и использования бюджетных ассигнований Инвестиционного фонда РФ; критерии эффективности региональных инвестиционных проектов; публичный технологический и ценовой аудит крупных инвестиционных проектов).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Методологические основы российской школы оценки эффективности инвестиционных проектов (анализ основных методов и принципов оценки, предусмотренных Методическими рекомендациями от 21.10.1999 г. №ВК477): эффективность проекта в целом (социально-экономическая эффективность и коммерческая эффективность); эффективность участия в проекте (эффективность участия предприятий в проекте, региональная и </w:t>
      </w:r>
      <w:r>
        <w:rPr>
          <w:rFonts w:ascii="Times New Roman" w:hAnsi="Times New Roman" w:cs="Times New Roman"/>
          <w:szCs w:val="28"/>
        </w:rPr>
        <w:lastRenderedPageBreak/>
        <w:t>народнохозяйственная эффективность, отраслевая эффективность, бюджетная эффективность). Принципы оценки. Оценка эффективности на стадиях инвестиционного проекта. Концептуальная (поэтапная) схема оценки эффективности проекта. Недостатки существующих методик в использовании оценки эффективности проектов ГЧП.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Методика оценки эффективности и определение сравнительного преимущества проекта ГЧП (</w:t>
      </w:r>
      <w:r>
        <w:rPr>
          <w:rFonts w:ascii="Times New Roman" w:hAnsi="Times New Roman" w:cs="Times New Roman"/>
          <w:bCs/>
          <w:szCs w:val="28"/>
        </w:rPr>
        <w:t>Приказ от 30 ноября 2015 г. N 894</w:t>
      </w:r>
      <w:r>
        <w:rPr>
          <w:rFonts w:ascii="Times New Roman" w:hAnsi="Times New Roman" w:cs="Times New Roman"/>
          <w:szCs w:val="28"/>
        </w:rPr>
        <w:t xml:space="preserve">). Анализ основных требований и рекомендации к заполнению формы предложения о реализации проекта ГЧП. Общий порядок рассмотрения и оценки проектов ГЧП. Подходы к оценке финансовой эффективности и оценке социально экономических эффектов от реализации проекта. Подходы к оценке сравнительного преимущества проектов ГЧП по сравнению с госзаказом. </w:t>
      </w:r>
    </w:p>
    <w:p w:rsidR="00C25601" w:rsidRDefault="00C25601">
      <w:pPr>
        <w:pStyle w:val="2"/>
        <w:ind w:firstLine="709"/>
        <w:jc w:val="center"/>
        <w:rPr>
          <w:b/>
          <w:i w:val="0"/>
          <w:szCs w:val="28"/>
          <w:u w:val="none"/>
        </w:rPr>
      </w:pPr>
    </w:p>
    <w:p w:rsidR="00C25601" w:rsidRDefault="008C1D0F">
      <w:pPr>
        <w:pStyle w:val="2"/>
        <w:ind w:firstLine="709"/>
        <w:jc w:val="center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5.2. Учебно – тематический план</w:t>
      </w:r>
    </w:p>
    <w:p w:rsidR="00C25601" w:rsidRDefault="00C25601">
      <w:pPr>
        <w:ind w:firstLine="709"/>
        <w:jc w:val="center"/>
        <w:rPr>
          <w:rFonts w:ascii="Times New Roman" w:hAnsi="Times New Roman" w:cs="Times New Roman"/>
        </w:rPr>
      </w:pPr>
    </w:p>
    <w:p w:rsidR="00C25601" w:rsidRDefault="008C1D0F">
      <w:pPr>
        <w:keepNext/>
        <w:ind w:left="1134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eastAsia="ru-RU"/>
        </w:rPr>
        <w:t>Таблица</w:t>
      </w:r>
      <w:r>
        <w:rPr>
          <w:rFonts w:ascii="Times New Roman" w:hAnsi="Times New Roman" w:cs="Times New Roman"/>
          <w:szCs w:val="28"/>
        </w:rPr>
        <w:t xml:space="preserve"> 2</w:t>
      </w:r>
    </w:p>
    <w:tbl>
      <w:tblPr>
        <w:tblW w:w="1055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24"/>
        <w:gridCol w:w="990"/>
        <w:gridCol w:w="992"/>
        <w:gridCol w:w="1134"/>
        <w:gridCol w:w="1283"/>
        <w:gridCol w:w="1134"/>
        <w:gridCol w:w="1826"/>
      </w:tblGrid>
      <w:tr w:rsidR="00C25601">
        <w:trPr>
          <w:trHeight w:val="2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№</w:t>
            </w:r>
          </w:p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  <w:tr w:rsidR="00C25601">
        <w:trPr>
          <w:trHeight w:val="2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Теоретические основы дисциплины.</w:t>
            </w:r>
          </w:p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Основные экономические категории и  положения инвестиционного проектирования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Опрос; решение тестов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Понятие и виды эффективности инвестиционного проекта. Основные критерии эффективности инвестиционного проекта и методы их оценки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Опрос; решение тестов;</w:t>
            </w:r>
          </w:p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решение задач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1460"/>
              </w:tabs>
              <w:ind w:left="33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Особенности    анализа    </w:t>
            </w: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эффективности    проектов</w:t>
            </w:r>
          </w:p>
          <w:p w:rsidR="00C25601" w:rsidRDefault="008C1D0F">
            <w:pPr>
              <w:widowControl w:val="0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2"/>
              </w:rPr>
              <w:t>государственно-частного партнерства с позиций публичного сектора. 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еждународные подходы к оценке социально-экономической эффективности  инвестиционных проектов.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решение задач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Методологические основы существующих в России подходов к оценке эффективности инвестиционных проектов. Методика оценки эффективности и определение сравнительного преимущества проекта государственно-частного партнерства.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6C13A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6C13A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(итоговый);</w:t>
            </w:r>
          </w:p>
          <w:p w:rsidR="00C25601" w:rsidRDefault="008C1D0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решение кейса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right" w:pos="851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Согласно учебному плану: 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C25601">
        <w:trPr>
          <w:trHeight w:val="2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right" w:pos="851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27,78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33,33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66, 67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72,22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snapToGrid w:val="0"/>
              <w:rPr>
                <w:rFonts w:ascii="Times New Roman" w:eastAsia="Calibri" w:hAnsi="Times New Roman" w:cs="Times New Roman"/>
                <w:bCs/>
                <w:i/>
                <w:color w:val="000000"/>
                <w:sz w:val="22"/>
                <w:szCs w:val="22"/>
              </w:rPr>
            </w:pPr>
          </w:p>
        </w:tc>
      </w:tr>
    </w:tbl>
    <w:p w:rsidR="00C25601" w:rsidRDefault="00C25601">
      <w:pPr>
        <w:ind w:left="7080" w:firstLine="708"/>
        <w:jc w:val="center"/>
        <w:rPr>
          <w:rFonts w:ascii="Times New Roman" w:hAnsi="Times New Roman" w:cs="Times New Roman"/>
          <w:szCs w:val="28"/>
        </w:rPr>
      </w:pPr>
    </w:p>
    <w:p w:rsidR="00C25601" w:rsidRDefault="00C25601">
      <w:pPr>
        <w:spacing w:line="360" w:lineRule="auto"/>
        <w:ind w:left="7080" w:firstLine="708"/>
        <w:rPr>
          <w:rFonts w:ascii="Times New Roman" w:hAnsi="Times New Roman" w:cs="Times New Roman"/>
          <w:szCs w:val="28"/>
        </w:rPr>
      </w:pPr>
    </w:p>
    <w:p w:rsidR="00C25601" w:rsidRDefault="008C1D0F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Cs w:val="28"/>
        </w:rPr>
        <w:t xml:space="preserve">5.3. </w:t>
      </w:r>
      <w:r>
        <w:rPr>
          <w:rFonts w:ascii="Times New Roman" w:hAnsi="Times New Roman" w:cs="Times New Roman"/>
          <w:b/>
          <w:bCs/>
          <w:color w:val="000000"/>
          <w:szCs w:val="28"/>
        </w:rPr>
        <w:t>Содержание семинаров, практических занятий</w:t>
      </w:r>
    </w:p>
    <w:p w:rsidR="00C25601" w:rsidRDefault="00C25601">
      <w:pPr>
        <w:ind w:firstLine="709"/>
        <w:jc w:val="center"/>
        <w:rPr>
          <w:rFonts w:ascii="Times New Roman" w:hAnsi="Times New Roman" w:cs="Times New Roman"/>
          <w:szCs w:val="28"/>
        </w:rPr>
      </w:pPr>
    </w:p>
    <w:p w:rsidR="00C25601" w:rsidRDefault="008C1D0F">
      <w:pPr>
        <w:keepNext/>
        <w:widowControl w:val="0"/>
        <w:spacing w:line="360" w:lineRule="auto"/>
        <w:ind w:firstLine="709"/>
        <w:jc w:val="right"/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hAnsi="Times New Roman" w:cs="Times New Roman"/>
          <w:color w:val="000000"/>
          <w:kern w:val="2"/>
          <w:szCs w:val="28"/>
        </w:rPr>
        <w:t>Таблица 3</w:t>
      </w:r>
    </w:p>
    <w:tbl>
      <w:tblPr>
        <w:tblW w:w="10496" w:type="dxa"/>
        <w:tblInd w:w="-323" w:type="dxa"/>
        <w:tblLayout w:type="fixed"/>
        <w:tblLook w:val="04A0" w:firstRow="1" w:lastRow="0" w:firstColumn="1" w:lastColumn="0" w:noHBand="0" w:noVBand="1"/>
      </w:tblPr>
      <w:tblGrid>
        <w:gridCol w:w="2549"/>
        <w:gridCol w:w="5525"/>
        <w:gridCol w:w="2422"/>
      </w:tblGrid>
      <w:tr w:rsidR="00C25601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Перечень вопросов для обсуждения на семинарских, практических занятиях,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  <w:t>рекомендуемые источники из разделов 8,9 (указывается раздел и порядковый номер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источника)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Формы проведения занятий</w:t>
            </w:r>
          </w:p>
        </w:tc>
      </w:tr>
      <w:tr w:rsidR="00C25601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 Теоретические основы дисциплины. Основные экономические категории и  положения инвестиционного проектирования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Какие виды инвестиций будут играть значимую роль в развитии экономики страны в ближайшее время? Использование иностранного опыта в формировании внутреннего инвестиционного климата в России.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2. Как можно классифицировать инвестиции по приобретаемому инвестором праву собственности, по периоду инвестирования, по региональному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признаку и по формам собственности на инвестиционные ресурсы?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Какие сведения должны быть получены на каждом этапе реализации инвестиционного проекта?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 Каковы основные правила деления расчетного периода инвестиционного проекта на шаги, фазы инвестиционного цикла?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 Неопределенность и риск в проекте: какие современные риски в России и за рубежом влияют в большей степени на проекты государственно-частного партнерства?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раздел 8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Основная: 1-3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Дополнительная: 5-8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 w:eastAsia="ru-RU"/>
              </w:rPr>
              <w:t>Раздел 9: 7,8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Презентация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ответы</w:t>
            </w:r>
          </w:p>
        </w:tc>
      </w:tr>
      <w:tr w:rsidR="00C25601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u w:color="000000"/>
              </w:rPr>
              <w:t>Тема 2.</w:t>
            </w:r>
          </w:p>
          <w:p w:rsidR="00C25601" w:rsidRDefault="00F7206E">
            <w:pPr>
              <w:widowControl w:val="0"/>
              <w:rPr>
                <w:rFonts w:ascii="Times New Roman" w:hAnsi="Times New Roman" w:cs="Times New Roman"/>
                <w:sz w:val="24"/>
                <w:lang w:eastAsia="ru-RU"/>
              </w:rPr>
            </w:pPr>
            <w:hyperlink r:id="rId9">
              <w:r w:rsidR="008C1D0F">
                <w:rPr>
                  <w:rFonts w:ascii="Times New Roman" w:hAnsi="Times New Roman" w:cs="Times New Roman"/>
                  <w:color w:val="000000"/>
                  <w:sz w:val="24"/>
                  <w:u w:color="000000"/>
                </w:rPr>
                <w:t xml:space="preserve"> Понятие и виды эффективности инвестиционного проекта. Основные критерии эффективности инвестиционного проекта и методы их оценки</w:t>
              </w:r>
            </w:hyperlink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Какие основные критерии эффективности инвестиционного проекта и методы их оценки наиболее приемлемы в современных условиях для проектов ГЧП?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Какие виды эффективности должны рассчитываться на разных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стадиях управления проектами?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раздел 8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Основная: 1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Дополнительная: 4-8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</w:t>
            </w:r>
          </w:p>
        </w:tc>
      </w:tr>
      <w:tr w:rsidR="00C25601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tabs>
                <w:tab w:val="left" w:pos="1460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3. </w:t>
            </w:r>
            <w:r>
              <w:rPr>
                <w:rFonts w:ascii="Times New Roman" w:hAnsi="Times New Roman" w:cs="Times New Roman"/>
                <w:bCs/>
                <w:sz w:val="24"/>
              </w:rPr>
              <w:t>Особенности    анализа    эффективности    проектов</w:t>
            </w:r>
          </w:p>
          <w:p w:rsidR="00C25601" w:rsidRDefault="008C1D0F">
            <w:pPr>
              <w:widowControl w:val="0"/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государственно-частного партнерства с позиций публичного сектора. </w:t>
            </w:r>
            <w:r>
              <w:rPr>
                <w:rFonts w:ascii="Times New Roman" w:hAnsi="Times New Roman" w:cs="Times New Roman"/>
                <w:sz w:val="24"/>
              </w:rPr>
              <w:t>Международные подходы к оценке социально-экономической эффективности инвестиционных проектов.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Подходы к оценке общественной и коммерческой эффективности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проектов государственно-частного партнерства. Можно ли дать финансовую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оценку общественного эффекта проектов ГЧП?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Какой вид эффективности важен для социально значимых проектов: с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позиций публичного партнера и частного инвестора?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В какой мере государство должно компенсировать финансовую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убыточность проектов ГЧП?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раздел 8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Основная: 2,3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Дополнительная: 4,5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Раздел 9: 1-8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письменные ответы</w:t>
            </w:r>
          </w:p>
        </w:tc>
      </w:tr>
      <w:tr w:rsidR="00C25601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Методологические основы существующих в России подходов к оценке эффективности инвестиционных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проектов. Методика оценки эффективности и определение сравнительного преимущества проекта государственно-частного партнерства.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1. Насколько методика оценки эффективности и определение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сравнительного преимущества проекта государственно-частного партнерства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позволяет выбрать наиболее эффективные проекты?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Насколько существенны различия между российской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методологической школой оценки эффективности и международными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методиками?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раздел 8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Основная: 1-3</w:t>
            </w:r>
          </w:p>
          <w:p w:rsidR="00C25601" w:rsidRDefault="008C1D0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Дополнительная: 4-8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Раздел 9: 7,8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письменные ответы</w:t>
            </w:r>
          </w:p>
        </w:tc>
      </w:tr>
    </w:tbl>
    <w:p w:rsidR="00C25601" w:rsidRDefault="00C25601">
      <w:pPr>
        <w:widowControl w:val="0"/>
        <w:rPr>
          <w:rFonts w:ascii="Times New Roman" w:hAnsi="Times New Roman" w:cs="Times New Roman"/>
          <w:b/>
          <w:szCs w:val="28"/>
          <w:lang w:eastAsia="ru-RU"/>
        </w:rPr>
      </w:pPr>
    </w:p>
    <w:p w:rsidR="00C25601" w:rsidRDefault="008C1D0F">
      <w:pPr>
        <w:tabs>
          <w:tab w:val="left" w:pos="993"/>
        </w:tabs>
        <w:spacing w:before="120" w:after="240" w:line="276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:rsidR="00C25601" w:rsidRDefault="008C1D0F">
      <w:pPr>
        <w:tabs>
          <w:tab w:val="left" w:pos="993"/>
        </w:tabs>
        <w:spacing w:before="120" w:after="240" w:line="276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  <w:lang w:eastAsia="ru-RU"/>
        </w:rPr>
        <w:t xml:space="preserve">6.1. </w:t>
      </w:r>
      <w:r>
        <w:rPr>
          <w:rFonts w:ascii="Times New Roman" w:hAnsi="Times New Roman" w:cs="Times New Roman"/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C25601" w:rsidRDefault="008C1D0F">
      <w:pPr>
        <w:keepNext/>
        <w:spacing w:line="360" w:lineRule="auto"/>
        <w:ind w:left="1134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eastAsia="ru-RU"/>
        </w:rPr>
        <w:t>Таблица</w:t>
      </w:r>
      <w:r>
        <w:rPr>
          <w:rFonts w:ascii="Times New Roman" w:eastAsia="Calibri" w:hAnsi="Times New Roman" w:cs="Times New Roman"/>
          <w:color w:val="000000"/>
          <w:szCs w:val="28"/>
          <w:lang w:eastAsia="ru-RU"/>
        </w:rPr>
        <w:t xml:space="preserve"> 4</w:t>
      </w:r>
    </w:p>
    <w:tbl>
      <w:tblPr>
        <w:tblW w:w="10119" w:type="dxa"/>
        <w:tblInd w:w="-181" w:type="dxa"/>
        <w:tblLayout w:type="fixed"/>
        <w:tblLook w:val="04A0" w:firstRow="1" w:lastRow="0" w:firstColumn="1" w:lastColumn="0" w:noHBand="0" w:noVBand="1"/>
      </w:tblPr>
      <w:tblGrid>
        <w:gridCol w:w="3266"/>
        <w:gridCol w:w="4345"/>
        <w:gridCol w:w="2508"/>
      </w:tblGrid>
      <w:tr w:rsidR="00C2560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C2560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 Теоретические основы дисциплины. Основные экономические категории и положения инвестиционного проектирования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Инвестиционный проект, направленный на развитие общественной инфраструктуры. Особенности инфраструктурного проекта. Особенности проекта государственно-частного партнерства.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сообщений по теме.</w:t>
            </w:r>
          </w:p>
          <w:p w:rsidR="00C25601" w:rsidRDefault="00C2560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560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2. </w:t>
            </w:r>
            <w:hyperlink r:id="rId10">
              <w:r>
                <w:rPr>
                  <w:rFonts w:ascii="Times New Roman" w:hAnsi="Times New Roman" w:cs="Times New Roman"/>
                  <w:color w:val="000000"/>
                  <w:sz w:val="24"/>
                </w:rPr>
                <w:t>Понятие и виды эффективности инвестиционного проекта. Основные критерии эффективности инвестиционного проекта и методы их оценки</w:t>
              </w:r>
            </w:hyperlink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этапы финансово-экономического анализа проектов ГЧП. Критерии и методы выбора инвестиционных альтернатив. Рейтинговая оценка привлекательности проекта ГЧП.</w:t>
            </w:r>
          </w:p>
          <w:p w:rsidR="00C25601" w:rsidRDefault="00C2560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сообщений по теме.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задач.</w:t>
            </w:r>
          </w:p>
        </w:tc>
      </w:tr>
      <w:tr w:rsidR="00C2560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tabs>
                <w:tab w:val="left" w:pos="1460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3. </w:t>
            </w:r>
            <w:r>
              <w:rPr>
                <w:rFonts w:ascii="Times New Roman" w:hAnsi="Times New Roman" w:cs="Times New Roman"/>
                <w:bCs/>
                <w:sz w:val="24"/>
              </w:rPr>
              <w:t>Особенности    анализа    эффективности    проектов</w:t>
            </w:r>
          </w:p>
          <w:p w:rsidR="00C25601" w:rsidRDefault="008C1D0F">
            <w:pPr>
              <w:widowControl w:val="0"/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государственно-частного партнерства с позиций публичного сектора. </w:t>
            </w:r>
            <w:r>
              <w:rPr>
                <w:rFonts w:ascii="Times New Roman" w:hAnsi="Times New Roman" w:cs="Times New Roman"/>
                <w:sz w:val="24"/>
              </w:rPr>
              <w:t>Международные подходы к оценке социально-экономической эффективности инвестиционных проектов.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Этапы проведения оценки инвестиционных проектов (в соответствии с руководством Европейской комиссии). </w:t>
            </w:r>
            <w:r>
              <w:rPr>
                <w:rFonts w:ascii="Times New Roman" w:hAnsi="Times New Roman" w:cs="Times New Roman"/>
                <w:sz w:val="24"/>
              </w:rPr>
              <w:t>Сравнение методов оценки социальной ставки дисконтирования (SRTP и SOC)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литературы и поиск актуальной информации из открытых источников.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сообщений.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Подготовка к дискуссии.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кейса</w:t>
            </w:r>
          </w:p>
        </w:tc>
      </w:tr>
      <w:tr w:rsidR="00C2560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4. Методологические основы существующих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России подходов к оценке эффективности инвестиционных проектов. Методика оценки эффективности и определение сравнительного преимущества проекта государственно-частного партнерства.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Методические рекомендациями от 21.10.1999 г. №ВК477.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Методика оценки эффективности и определение сравнительного преимущества проекта ГЧП (</w:t>
            </w:r>
            <w:r>
              <w:rPr>
                <w:rFonts w:ascii="Times New Roman" w:hAnsi="Times New Roman" w:cs="Times New Roman"/>
                <w:bCs/>
                <w:sz w:val="24"/>
              </w:rPr>
              <w:t>Приказ от 30 ноября 2015 г. N 894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Изучение литературы и поиск актуальной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информации из открытых источников.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сообщений.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Подготовка к дискуссии.</w:t>
            </w:r>
          </w:p>
          <w:p w:rsidR="00C25601" w:rsidRDefault="008C1D0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кейса</w:t>
            </w:r>
          </w:p>
          <w:p w:rsidR="00C25601" w:rsidRDefault="00C2560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25601" w:rsidRDefault="00C25601">
      <w:pPr>
        <w:widowControl w:val="0"/>
        <w:rPr>
          <w:rFonts w:ascii="Times New Roman" w:hAnsi="Times New Roman" w:cs="Times New Roman"/>
          <w:b/>
          <w:bCs/>
          <w:kern w:val="2"/>
          <w:szCs w:val="28"/>
        </w:rPr>
      </w:pPr>
    </w:p>
    <w:p w:rsidR="00C25601" w:rsidRDefault="008C1D0F">
      <w:pPr>
        <w:tabs>
          <w:tab w:val="left" w:pos="993"/>
        </w:tabs>
        <w:spacing w:before="120" w:after="240" w:line="276" w:lineRule="auto"/>
        <w:ind w:firstLine="709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8"/>
        </w:rPr>
        <w:t>6.2. Перечень вопросов, заданий, тем для подготовки к текущему контролю</w:t>
      </w:r>
    </w:p>
    <w:p w:rsidR="00C25601" w:rsidRDefault="008C1D0F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zCs w:val="28"/>
        </w:rPr>
        <w:t>Примерный перечень вопросов к контрольной работе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Подходы к определению понятия «государственно-частное партнерство». Дайте свое определение ГЧП.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Основные цели и мотивы участия публичной стороны и частного партнера в проекте ГЧП. 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Основные преимущества для публичной и частной стороны.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Основные отличия ГЧП от других форм взаимодействия государства и частного сектора.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Нормативно-правовое регулирование ГЧП в Российской Федерации.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Особенности реализации концессионных проектов и ГЧП-проектов в России. Кратко опишите несколько пилотных проектов ГЧП в России.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Особенности реализации концессионных проектов и ГЧП-проектов за рубежом. Кратко опишите несколько крупных зарубежных проектов ГЧП.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Сущность и принципы проектного финансирования. Проведите краткий сравнительный анализ проектного финансирования и других видов финансирования.</w:t>
      </w:r>
    </w:p>
    <w:p w:rsidR="00C25601" w:rsidRDefault="008C1D0F">
      <w:pPr>
        <w:numPr>
          <w:ilvl w:val="0"/>
          <w:numId w:val="14"/>
        </w:numPr>
        <w:shd w:val="clear" w:color="auto" w:fill="FFFFFF"/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Проведите краткий сравнительный анализ рынка проектов ГЧП в России и зарубежных рынков проектов ГЧП (критерии сравнения: нормативное регулирование, институциональная среда, наличие успешных проектов ГЧП и др.)</w:t>
      </w:r>
    </w:p>
    <w:p w:rsidR="00C25601" w:rsidRDefault="008C1D0F">
      <w:pPr>
        <w:numPr>
          <w:ilvl w:val="0"/>
          <w:numId w:val="14"/>
        </w:numPr>
        <w:spacing w:line="276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Наиболее распространенные в мире формы ГЧП. Дайте характеристику одной из форм ГЧП и приведите пример из российской или зарубежной практики. </w:t>
      </w:r>
    </w:p>
    <w:p w:rsidR="00C25601" w:rsidRDefault="008C1D0F">
      <w:pPr>
        <w:numPr>
          <w:ilvl w:val="0"/>
          <w:numId w:val="14"/>
        </w:numPr>
        <w:spacing w:line="276" w:lineRule="auto"/>
        <w:ind w:left="0" w:firstLine="7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 Роль институтов в развитии рынка проектов ГЧП в России и за рубежом.</w:t>
      </w:r>
    </w:p>
    <w:p w:rsidR="00C25601" w:rsidRDefault="008C1D0F">
      <w:pPr>
        <w:numPr>
          <w:ilvl w:val="0"/>
          <w:numId w:val="14"/>
        </w:numPr>
        <w:spacing w:line="276" w:lineRule="auto"/>
        <w:ind w:left="0" w:firstLine="7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 Меры государственной поддержки проектов ГЧП. </w:t>
      </w:r>
    </w:p>
    <w:p w:rsidR="00C25601" w:rsidRDefault="00C25601">
      <w:pPr>
        <w:spacing w:after="240" w:line="276" w:lineRule="auto"/>
        <w:jc w:val="center"/>
        <w:rPr>
          <w:rFonts w:ascii="Times New Roman" w:hAnsi="Times New Roman" w:cs="Times New Roman"/>
          <w:b/>
          <w:i/>
          <w:color w:val="000000"/>
          <w:spacing w:val="-5"/>
          <w:szCs w:val="28"/>
        </w:rPr>
      </w:pPr>
    </w:p>
    <w:p w:rsidR="00C25601" w:rsidRDefault="008C1D0F">
      <w:pPr>
        <w:spacing w:after="240" w:line="276" w:lineRule="auto"/>
        <w:jc w:val="center"/>
        <w:rPr>
          <w:rFonts w:ascii="Times New Roman" w:hAnsi="Times New Roman" w:cs="Times New Roman"/>
          <w:b/>
          <w:i/>
          <w:color w:val="000000"/>
          <w:spacing w:val="-5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-5"/>
          <w:szCs w:val="28"/>
        </w:rPr>
        <w:lastRenderedPageBreak/>
        <w:t>Пример контрольной работы</w:t>
      </w:r>
    </w:p>
    <w:p w:rsidR="00C25601" w:rsidRDefault="008C1D0F">
      <w:pPr>
        <w:spacing w:line="276" w:lineRule="auto"/>
        <w:ind w:firstLine="709"/>
        <w:rPr>
          <w:rFonts w:ascii="Times New Roman" w:hAnsi="Times New Roman" w:cs="Times New Roman"/>
          <w:i/>
          <w:szCs w:val="28"/>
          <w:u w:val="single"/>
        </w:rPr>
      </w:pPr>
      <w:r>
        <w:rPr>
          <w:rFonts w:ascii="Times New Roman" w:hAnsi="Times New Roman" w:cs="Times New Roman"/>
          <w:i/>
          <w:szCs w:val="28"/>
          <w:u w:val="single"/>
        </w:rPr>
        <w:t>Тестовое задание 1.</w:t>
      </w:r>
    </w:p>
    <w:p w:rsidR="00C25601" w:rsidRDefault="008C1D0F">
      <w:pPr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Термин «государственно-частное партнерство» является устоявшимся переводом с английского языка:</w:t>
      </w:r>
    </w:p>
    <w:p w:rsidR="00C25601" w:rsidRDefault="008C1D0F">
      <w:pPr>
        <w:numPr>
          <w:ilvl w:val="0"/>
          <w:numId w:val="15"/>
        </w:numPr>
        <w:spacing w:line="276" w:lineRule="auto"/>
        <w:ind w:left="1417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val="en-US"/>
        </w:rPr>
        <w:t>private</w:t>
      </w:r>
      <w:r>
        <w:rPr>
          <w:rFonts w:ascii="Times New Roman" w:hAnsi="Times New Roman" w:cs="Times New Roman"/>
          <w:szCs w:val="28"/>
        </w:rPr>
        <w:t>-public partnership</w:t>
      </w:r>
    </w:p>
    <w:p w:rsidR="00C25601" w:rsidRDefault="008C1D0F">
      <w:pPr>
        <w:numPr>
          <w:ilvl w:val="0"/>
          <w:numId w:val="15"/>
        </w:numPr>
        <w:spacing w:line="276" w:lineRule="auto"/>
        <w:ind w:left="1417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val="en-US"/>
        </w:rPr>
        <w:t>p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rivate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financial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initiative</w:t>
      </w:r>
    </w:p>
    <w:p w:rsidR="00C25601" w:rsidRDefault="008C1D0F">
      <w:pPr>
        <w:numPr>
          <w:ilvl w:val="0"/>
          <w:numId w:val="15"/>
        </w:numPr>
        <w:spacing w:line="276" w:lineRule="auto"/>
        <w:ind w:left="1417" w:hanging="357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>public-private partnership</w:t>
      </w:r>
    </w:p>
    <w:p w:rsidR="00C25601" w:rsidRDefault="008C1D0F">
      <w:pPr>
        <w:numPr>
          <w:ilvl w:val="0"/>
          <w:numId w:val="15"/>
        </w:numPr>
        <w:spacing w:line="276" w:lineRule="auto"/>
        <w:ind w:left="1417" w:hanging="357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>private-public collaboration</w:t>
      </w:r>
    </w:p>
    <w:p w:rsidR="00C25601" w:rsidRDefault="008C1D0F">
      <w:pPr>
        <w:spacing w:line="276" w:lineRule="auto"/>
        <w:ind w:firstLine="709"/>
        <w:rPr>
          <w:rFonts w:ascii="Times New Roman" w:hAnsi="Times New Roman" w:cs="Times New Roman"/>
          <w:i/>
          <w:szCs w:val="28"/>
          <w:u w:val="single"/>
        </w:rPr>
      </w:pPr>
      <w:r>
        <w:rPr>
          <w:rFonts w:ascii="Times New Roman" w:hAnsi="Times New Roman" w:cs="Times New Roman"/>
          <w:i/>
          <w:szCs w:val="28"/>
          <w:u w:val="single"/>
        </w:rPr>
        <w:t>Тестовое задание 2.</w:t>
      </w:r>
    </w:p>
    <w:p w:rsidR="00C25601" w:rsidRDefault="008C1D0F">
      <w:pPr>
        <w:spacing w:line="276" w:lineRule="auto"/>
        <w:ind w:left="720"/>
        <w:contextualSpacing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 финансовым институтам развития относятся:</w:t>
      </w:r>
    </w:p>
    <w:p w:rsidR="00C25601" w:rsidRDefault="008C1D0F">
      <w:pPr>
        <w:numPr>
          <w:ilvl w:val="0"/>
          <w:numId w:val="13"/>
        </w:numPr>
        <w:spacing w:line="276" w:lineRule="auto"/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корпорации развития</w:t>
      </w:r>
    </w:p>
    <w:p w:rsidR="00C25601" w:rsidRDefault="008C1D0F">
      <w:pPr>
        <w:numPr>
          <w:ilvl w:val="0"/>
          <w:numId w:val="13"/>
        </w:numPr>
        <w:spacing w:line="276" w:lineRule="auto"/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торговые ассоциации</w:t>
      </w:r>
    </w:p>
    <w:p w:rsidR="00C25601" w:rsidRDefault="008C1D0F">
      <w:pPr>
        <w:numPr>
          <w:ilvl w:val="0"/>
          <w:numId w:val="13"/>
        </w:numPr>
        <w:spacing w:line="276" w:lineRule="auto"/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научные фонды</w:t>
      </w:r>
    </w:p>
    <w:p w:rsidR="00C25601" w:rsidRDefault="008C1D0F">
      <w:pPr>
        <w:numPr>
          <w:ilvl w:val="0"/>
          <w:numId w:val="13"/>
        </w:numPr>
        <w:spacing w:line="276" w:lineRule="auto"/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банки развития</w:t>
      </w:r>
    </w:p>
    <w:p w:rsidR="00C25601" w:rsidRDefault="008C1D0F">
      <w:pPr>
        <w:spacing w:line="276" w:lineRule="auto"/>
        <w:ind w:firstLine="709"/>
        <w:rPr>
          <w:rFonts w:ascii="Times New Roman" w:hAnsi="Times New Roman" w:cs="Times New Roman"/>
          <w:i/>
          <w:szCs w:val="28"/>
          <w:u w:val="single"/>
        </w:rPr>
      </w:pPr>
      <w:r>
        <w:rPr>
          <w:rFonts w:ascii="Times New Roman" w:hAnsi="Times New Roman" w:cs="Times New Roman"/>
          <w:i/>
          <w:szCs w:val="28"/>
          <w:u w:val="single"/>
        </w:rPr>
        <w:t>Тестовое задание 3</w:t>
      </w:r>
    </w:p>
    <w:p w:rsidR="00C25601" w:rsidRDefault="008C1D0F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Проект ГЧП предполагает сложную систему договорных отношений. Определите вид соглашения при взаимодействии следующих участников проекта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noProof/>
          <w:lang w:eastAsia="ru-RU"/>
        </w:rPr>
        <w:drawing>
          <wp:inline distT="0" distB="0" distL="0" distR="0">
            <wp:extent cx="4389120" cy="237426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5" t="-8" r="-5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37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601" w:rsidRDefault="00C25601">
      <w:pPr>
        <w:sectPr w:rsidR="00C256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991" w:bottom="1418" w:left="1350" w:header="0" w:footer="709" w:gutter="0"/>
          <w:pgNumType w:start="0"/>
          <w:cols w:space="720"/>
          <w:formProt w:val="0"/>
          <w:titlePg/>
          <w:docGrid w:linePitch="381"/>
        </w:sectPr>
      </w:pP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А) Концессионное соглашение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Б) Акционерное соглашение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В) Договор кредитования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Г) Договор на эксплуатацию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Д) Договор на покупку услуг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Е) Договор на строительство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Ж) Прямое соглашение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З) Договор на поставку</w:t>
      </w:r>
    </w:p>
    <w:p w:rsidR="00C25601" w:rsidRDefault="008C1D0F">
      <w:pPr>
        <w:spacing w:line="276" w:lineRule="auto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И) Договор страхования</w:t>
      </w:r>
    </w:p>
    <w:p w:rsidR="00C25601" w:rsidRDefault="008C1D0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i/>
          <w:szCs w:val="28"/>
          <w:u w:val="single"/>
        </w:rPr>
      </w:pPr>
      <w:r>
        <w:rPr>
          <w:rFonts w:ascii="Times New Roman" w:hAnsi="Times New Roman" w:cs="Times New Roman"/>
          <w:i/>
          <w:szCs w:val="28"/>
          <w:u w:val="single"/>
        </w:rPr>
        <w:lastRenderedPageBreak/>
        <w:t xml:space="preserve">Теоретический вопрос. </w:t>
      </w:r>
    </w:p>
    <w:p w:rsidR="00C25601" w:rsidRDefault="008C1D0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Сущность и принципы проектного финансирования. Проведите краткий сравнительный анализ проектного финансирования и других видов финансирования</w:t>
      </w:r>
    </w:p>
    <w:p w:rsidR="00C25601" w:rsidRDefault="00C25601">
      <w:pPr>
        <w:pStyle w:val="25"/>
        <w:spacing w:line="360" w:lineRule="auto"/>
        <w:ind w:left="0" w:firstLine="709"/>
        <w:jc w:val="both"/>
        <w:rPr>
          <w:szCs w:val="28"/>
        </w:rPr>
      </w:pPr>
    </w:p>
    <w:p w:rsidR="00C25601" w:rsidRDefault="008C1D0F">
      <w:pPr>
        <w:pStyle w:val="25"/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C25601" w:rsidRDefault="008C1D0F">
      <w:p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C25601" w:rsidRDefault="00C25601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</w:rPr>
        <w:t>Перечень компетенций с указанием индикаторов их достижения в процессе освоения образовательной программы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25601" w:rsidRDefault="008C1D0F">
      <w:pPr>
        <w:ind w:firstLine="709"/>
        <w:jc w:val="both"/>
        <w:outlineLvl w:val="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25601" w:rsidRDefault="00C25601">
      <w:pPr>
        <w:ind w:firstLine="708"/>
        <w:jc w:val="both"/>
        <w:rPr>
          <w:rFonts w:ascii="Times New Roman" w:hAnsi="Times New Roman" w:cs="Times New Roman"/>
          <w:b/>
          <w:szCs w:val="28"/>
        </w:rPr>
      </w:pPr>
    </w:p>
    <w:p w:rsidR="00C25601" w:rsidRDefault="008C1D0F">
      <w:pPr>
        <w:ind w:firstLine="708"/>
        <w:jc w:val="center"/>
        <w:rPr>
          <w:rFonts w:ascii="Times New Roman" w:eastAsia="Calibri" w:hAnsi="Times New Roman" w:cs="Times New Roman"/>
          <w:b/>
          <w:i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Cs w:val="28"/>
          <w:lang w:eastAsia="en-US"/>
        </w:rPr>
        <w:t>Примеры типовых контрольных заданий для проверки каждой компетенции, формируемой дисциплиной</w:t>
      </w:r>
    </w:p>
    <w:p w:rsidR="00C25601" w:rsidRDefault="00C25601">
      <w:pPr>
        <w:shd w:val="clear" w:color="auto" w:fill="FFFFFF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Cs w:val="28"/>
          <w:lang w:eastAsia="en-US"/>
        </w:rPr>
      </w:pPr>
    </w:p>
    <w:p w:rsidR="00C25601" w:rsidRDefault="008C1D0F">
      <w:pPr>
        <w:keepNext/>
        <w:ind w:left="1134"/>
        <w:jc w:val="right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Cs w:val="28"/>
          <w:lang w:eastAsia="en-US"/>
        </w:rPr>
        <w:t>Таблица 5</w:t>
      </w:r>
    </w:p>
    <w:tbl>
      <w:tblPr>
        <w:tblW w:w="109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0"/>
        <w:gridCol w:w="1845"/>
        <w:gridCol w:w="2076"/>
        <w:gridCol w:w="4872"/>
      </w:tblGrid>
      <w:tr w:rsidR="00C25601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Типовые контрольные задания</w:t>
            </w:r>
          </w:p>
        </w:tc>
      </w:tr>
      <w:tr w:rsidR="00C25601"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Способность к инициированию и организации продвижения социально-значимых проектов, к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с использованием механизмов ГЧП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(ПК-2)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1.Демонстрирует навыки анализа рынка инвесторов и операторов, а также понимает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мотивы участия бизнеса в решении социально значимых проблем развития субъектов Российской Федерации и муниципальных образований.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законодательные и нормативные акты, регулирующие привлечение и организацию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внебюджетного финансирования;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мотивы участия бизнеса в решении социально значимых проблем развития субъектов Российской Федерации и муниципальных образований;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рынок инвесторов и операторов.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Задание 1</w:t>
            </w:r>
          </w:p>
          <w:p w:rsidR="00C25601" w:rsidRDefault="008C1D0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Текущая цена одной обыкновенной акции компании составляет $34. Ожидаемая в следующем году величина дивиденда $2.34. Кроме того, предприятие планирует ежегодный прирост дивидендов 2%. Определить стоимость собственного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капитала предприятия.</w:t>
            </w:r>
          </w:p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:rsidR="00C25601" w:rsidRDefault="008C1D0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 Сравните по критериям IRR, NPV два проекта, если стоимость капитала 13%:</w:t>
            </w:r>
          </w:p>
          <w:tbl>
            <w:tblPr>
              <w:tblW w:w="4436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338"/>
              <w:gridCol w:w="970"/>
              <w:gridCol w:w="787"/>
              <w:gridCol w:w="850"/>
              <w:gridCol w:w="1491"/>
            </w:tblGrid>
            <w:tr w:rsidR="00C25601"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А</w:t>
                  </w:r>
                </w:p>
              </w:tc>
              <w:tc>
                <w:tcPr>
                  <w:tcW w:w="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-20.000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7.000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7.000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7.000</w:t>
                  </w:r>
                </w:p>
              </w:tc>
            </w:tr>
            <w:tr w:rsidR="00C25601"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B</w:t>
                  </w:r>
                </w:p>
              </w:tc>
              <w:tc>
                <w:tcPr>
                  <w:tcW w:w="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-25.000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2.500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5.000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10.000</w:t>
                  </w:r>
                </w:p>
              </w:tc>
            </w:tr>
          </w:tbl>
          <w:p w:rsidR="00C25601" w:rsidRDefault="00C25601">
            <w:pPr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C25601" w:rsidRDefault="00C2560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25601">
        <w:trPr>
          <w:trHeight w:val="1833"/>
        </w:trPr>
        <w:tc>
          <w:tcPr>
            <w:tcW w:w="2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 Владеет навыками организации проектов ГЧП в различных отраслях инфраструктуры.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структурирования проектов ГЧП;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структурировать проекты ГЧП в различных отраслях инфраструктуры.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:rsidR="00C25601" w:rsidRDefault="008C1D0F">
            <w:pPr>
              <w:widowControl w:val="0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Задан денежный поток в прогнозных ценах: - 5; 2; 2. Коэффициент дисконтирования без учета инфляции – 10%, темп инфляции – 5% ежегодно. Рассчитать NPV.</w:t>
            </w:r>
          </w:p>
        </w:tc>
      </w:tr>
      <w:tr w:rsidR="00C25601">
        <w:trPr>
          <w:trHeight w:val="1833"/>
        </w:trPr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pStyle w:val="aff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 Применяет лучшие зарубежные и российские практики по привлечению частных партнеров, в т.ч. инвесторов, в проекты ГЧП.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лучшие зарубежные и российские практики по привлечению частных партнеров, в т.ч. инвесторов, в проекты ГЧП.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  <w:p w:rsidR="00C25601" w:rsidRDefault="008C1D0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ind w:left="0" w:firstLine="6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Чистая текущая стоимость (NPV) рассчитывается как:</w:t>
            </w:r>
          </w:p>
          <w:p w:rsidR="00C25601" w:rsidRDefault="008C1D0F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разность дисконтированных денежных потоков доходов и расходов, производимых в процессе реализации инвестиций за прогнозируемый период</w:t>
            </w:r>
          </w:p>
          <w:p w:rsidR="00C25601" w:rsidRDefault="008C1D0F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чистой текущей стоимости денежного притока к чистой текущей стоимости денежного оттока (включая первоначальные инвестиции)</w:t>
            </w:r>
          </w:p>
          <w:p w:rsidR="00C25601" w:rsidRDefault="008C1D0F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среднегодовой величины прибыли (за минусом отчислений в бюджет) от реализации проекта за период к средней величине инвестиций</w:t>
            </w:r>
          </w:p>
          <w:p w:rsidR="00C25601" w:rsidRDefault="008C1D0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ind w:left="0" w:firstLine="6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Второй этап оценки инвестиционного проекта заключается в оценке эффективности проекта:</w:t>
            </w:r>
          </w:p>
          <w:p w:rsidR="00C25601" w:rsidRDefault="008C1D0F">
            <w:pPr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 целом</w:t>
            </w:r>
          </w:p>
          <w:p w:rsidR="00C25601" w:rsidRDefault="008C1D0F">
            <w:pPr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для каждого из участников</w:t>
            </w:r>
          </w:p>
          <w:p w:rsidR="00C25601" w:rsidRDefault="008C1D0F">
            <w:pPr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без учета схемы финансирования</w:t>
            </w:r>
          </w:p>
          <w:p w:rsidR="00C25601" w:rsidRDefault="008C1D0F">
            <w:pPr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с точки зрения общества и отдельной, генерирующей проект организации</w:t>
            </w:r>
          </w:p>
          <w:p w:rsidR="00C25601" w:rsidRDefault="008C1D0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ind w:left="0" w:firstLine="6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Первый этап оценки инвестиционного проекта заключается в:</w:t>
            </w:r>
          </w:p>
          <w:p w:rsidR="00C25601" w:rsidRDefault="008C1D0F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оценке эффективности проекта в целом</w:t>
            </w:r>
          </w:p>
          <w:p w:rsidR="00C25601" w:rsidRDefault="008C1D0F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оценке эффективности проекта для каждого из участников</w:t>
            </w:r>
          </w:p>
          <w:p w:rsidR="00C25601" w:rsidRDefault="008C1D0F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оценке эффективности проекта с учетом схемы финансирования</w:t>
            </w:r>
          </w:p>
          <w:p w:rsidR="00C25601" w:rsidRDefault="008C1D0F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оценке финансовой реализуемости инвестиционного проекта</w:t>
            </w:r>
          </w:p>
          <w:p w:rsidR="00C25601" w:rsidRDefault="008C1D0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ind w:left="0" w:firstLine="6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Ставка дисконтирования - это...</w:t>
            </w:r>
          </w:p>
          <w:p w:rsidR="00C25601" w:rsidRDefault="008C1D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норма прибыли с учетом риска</w:t>
            </w:r>
          </w:p>
          <w:p w:rsidR="00C25601" w:rsidRDefault="008C1D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величина, учитывающая инфляцию</w:t>
            </w:r>
          </w:p>
          <w:p w:rsidR="00C25601" w:rsidRDefault="008C1D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инфляционная премия</w:t>
            </w:r>
          </w:p>
          <w:p w:rsidR="00C25601" w:rsidRDefault="008C1D0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ind w:left="0" w:firstLine="6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Метод чистой текущей стоимости учитывает:</w:t>
            </w:r>
          </w:p>
          <w:p w:rsidR="00C25601" w:rsidRDefault="008C1D0F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только величину будущих поступлений от реализации проекта</w:t>
            </w:r>
          </w:p>
          <w:p w:rsidR="00C25601" w:rsidRDefault="008C1D0F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только величину будущих расходов, связанных с проектом</w:t>
            </w:r>
          </w:p>
          <w:p w:rsidR="00C25601" w:rsidRDefault="008C1D0F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ind w:left="0" w:firstLine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только величины будущих расходов и поступлений, связанных с проектом</w:t>
            </w:r>
          </w:p>
          <w:p w:rsidR="00C25601" w:rsidRDefault="008C1D0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величины будущих расходов и поступлений, связанных с проектом, и ставку дисконтирования</w:t>
            </w:r>
          </w:p>
        </w:tc>
      </w:tr>
      <w:tr w:rsidR="00C25601"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Способность осуществлять оценку бюджетной, финансовой и социально-экономической эффективности и обоснование выбора оптимальной формы реализации проекта ГЧП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(ПК-3)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 Демонстрирует знание источников и инструментов финансирования проектов ГЧП на каждой стадии жизненного цикла проекта.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источники и инструментов финансирования проектов ГЧП на каждой стадии жизненного цикла проекта;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комплексный анализ рынка проектов ГЧП/МЧП.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ind w:right="33" w:firstLine="3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Задание 1</w:t>
            </w:r>
          </w:p>
          <w:p w:rsidR="00C25601" w:rsidRDefault="008C1D0F">
            <w:pPr>
              <w:widowControl w:val="0"/>
              <w:ind w:firstLine="221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Подготовьте развернутые ответы на следующие вопросы: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Особенности реальных инвестиций в современных российских условиях.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Современные методы оценки эффективности инвестиционных проектов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Проблемы адаптации международных методик в области оценки эффективности инвестиционных проектов в российских условиях.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Денежные потоки инвестиционного проекта: сущность, классификация и особенности идентификации.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Критерии оценки экономической эффективности инвестиционных проектов в современных условиях.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Анализ и управление рисками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инвестиционного проекта.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Проблемы организации проектного финансирования в РФ. Оценка эффективности как составная часть проектного менеджмента.</w:t>
            </w:r>
          </w:p>
          <w:p w:rsidR="00C25601" w:rsidRDefault="008C1D0F">
            <w:pPr>
              <w:widowControl w:val="0"/>
              <w:ind w:right="33" w:firstLine="3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Особенности социальной эффективности.</w:t>
            </w:r>
          </w:p>
          <w:p w:rsidR="00C25601" w:rsidRDefault="00C2560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5601"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2.Использует навыки оценки эффективности и обоснования выбора модели реализации проекта.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знания: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оценки эффективности и обоснования выбора модели реализации проекта;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оценку бюджетной, финансовой и социально– экономической эффективности;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обосновать выбор оптимальной формы реализации проекта ГЧП/МЧП.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ind w:right="33" w:firstLine="3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Задание 1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Проект, рассчитанный на 15 лет, требует инвестиций в размере $150.000. В первые 5 лет никаких поступлений не ожидается, однако в последующие 10 лет ежегодный доход составит $50.000. Следует ли принять этот проект, если коэффициент дисконтирования равен 15%.</w:t>
            </w:r>
          </w:p>
          <w:p w:rsidR="00C25601" w:rsidRDefault="008C1D0F">
            <w:pPr>
              <w:widowControl w:val="0"/>
              <w:ind w:right="33" w:firstLine="3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Задание 2</w:t>
            </w:r>
          </w:p>
          <w:p w:rsidR="00C25601" w:rsidRDefault="008C1D0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Балансовая стоимость обыкновенных акций компании составляет $800.000, привилегированные акции составляют $300.000, а общий заемный капитал - $500.000. Стоимость собственного капитала равна 18%, привилегированных акций 11%, а облигации компании – 9%. Необходимо определить WACC при ставке налога 30%.</w:t>
            </w:r>
          </w:p>
          <w:p w:rsidR="00C25601" w:rsidRDefault="008C1D0F">
            <w:pPr>
              <w:widowControl w:val="0"/>
              <w:ind w:right="33" w:firstLine="3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Задание 3</w:t>
            </w:r>
          </w:p>
          <w:p w:rsidR="00C25601" w:rsidRDefault="008C1D0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Проект, требующий инвестиций в размере $160.000 предполагает получение годового дохода в размере $30.000 на протяжении 15 лет. Оцените целесообразность такой инвестиции, если коэффициент дисконтирования – 15%.</w:t>
            </w:r>
          </w:p>
        </w:tc>
      </w:tr>
      <w:tr w:rsidR="00C25601"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Способность осуществлять оценку эффективности и результативности деятельности организации в целом и  отдельных проектов, разрабатывать для этого методики оценки  и необходимые показатели с учетом факторов риска и в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 xml:space="preserve">условиях неопределенности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(ПКН-3)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оценку эффективности и результативности деятельности организации в целом и отдельных проектов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расчёты эффективности и уметь дать обоснования управленческим решениям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Величина требуемых инвестиций по проекту равна $18.000, предполагаемые доходы составят: в первый год - $1.500, в последующие 8 лет по $3.600 ежегодно. Оцените целесообразность принятия проекта, если стоимость капитала 10%.</w:t>
            </w:r>
          </w:p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Организации предложено инвестировать $100 млн. на срок 5 лет при условии возврата этой суммы частями (ежегодно по $20 млн.), по истечении 5 лет выплачивается дополнительное вознаграждение в размере $30 млн. Примет ли организация это предложение, если можно депонировать деньги в банк из расчета 8% годовых, начисляемых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ежеквартально.</w:t>
            </w:r>
          </w:p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3</w:t>
            </w:r>
          </w:p>
          <w:p w:rsidR="00C25601" w:rsidRDefault="008C1D0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u w:val="single"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Стоимость собственных средств предприятия – 18%. В настоящее время предприятие располагает возможностью купить новое оборудование стоимостью $84.500. Использование этого оборудования позволит увеличить объём выпускаемой продукции, что в конечном итоге приведет к $17.000 дополнительного годового денежного дохода в течение 15 лет использования оборудования. Вычислите чистое современное значение проекта, предположив, что после окончания проекта оборудование может быть продано по остаточной стоимости $2.500.</w:t>
            </w:r>
            <w:bookmarkStart w:id="7" w:name="__DdeLink__176153_187952170"/>
            <w:bookmarkEnd w:id="7"/>
          </w:p>
          <w:p w:rsidR="00C25601" w:rsidRDefault="008C1D0F">
            <w:pPr>
              <w:widowControl w:val="0"/>
              <w:spacing w:before="240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Задание 4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Даны следующие параметры: Рассчитать IRR проекта, IRR для бюджета.</w:t>
            </w:r>
          </w:p>
          <w:tbl>
            <w:tblPr>
              <w:tblW w:w="5445" w:type="dxa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622"/>
              <w:gridCol w:w="679"/>
              <w:gridCol w:w="620"/>
              <w:gridCol w:w="622"/>
              <w:gridCol w:w="1593"/>
            </w:tblGrid>
            <w:tr w:rsidR="00C25601"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Параметр</w:t>
                  </w: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Значение</w:t>
                  </w:r>
                </w:p>
              </w:tc>
            </w:tr>
            <w:tr w:rsidR="00C25601"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Уровень финансирования проекта со стороны бюджета</w:t>
                  </w: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25,0%</w:t>
                  </w:r>
                </w:p>
              </w:tc>
            </w:tr>
            <w:tr w:rsidR="00C25601"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WACC</w:t>
                  </w: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13,0%</w:t>
                  </w:r>
                </w:p>
              </w:tc>
            </w:tr>
            <w:tr w:rsidR="00C25601"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Требуемая ставка доходности для бюджета</w:t>
                  </w: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4,0%</w:t>
                  </w:r>
                </w:p>
              </w:tc>
            </w:tr>
            <w:tr w:rsidR="00C25601"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Требуемый объем инвестиций</w:t>
                  </w: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1 000 000</w:t>
                  </w:r>
                </w:p>
              </w:tc>
            </w:tr>
            <w:tr w:rsidR="00C25601">
              <w:trPr>
                <w:trHeight w:val="300"/>
              </w:trPr>
              <w:tc>
                <w:tcPr>
                  <w:tcW w:w="1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4136" w:type="dxa"/>
                  <w:gridSpan w:val="5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Годы</w:t>
                  </w:r>
                </w:p>
              </w:tc>
            </w:tr>
            <w:tr w:rsidR="00C25601">
              <w:trPr>
                <w:trHeight w:val="600"/>
              </w:trPr>
              <w:tc>
                <w:tcPr>
                  <w:tcW w:w="13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0 (инвестиции)</w:t>
                  </w:r>
                </w:p>
              </w:tc>
              <w:tc>
                <w:tcPr>
                  <w:tcW w:w="679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59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</w:tr>
            <w:tr w:rsidR="00C25601">
              <w:trPr>
                <w:trHeight w:val="300"/>
              </w:trPr>
              <w:tc>
                <w:tcPr>
                  <w:tcW w:w="13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Свободный денежный поток по проекту</w:t>
                  </w: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9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150 000</w:t>
                  </w:r>
                </w:p>
              </w:tc>
              <w:tc>
                <w:tcPr>
                  <w:tcW w:w="6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200 000</w:t>
                  </w: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300 000</w:t>
                  </w:r>
                </w:p>
              </w:tc>
              <w:tc>
                <w:tcPr>
                  <w:tcW w:w="159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500 000</w:t>
                  </w:r>
                </w:p>
              </w:tc>
            </w:tr>
            <w:tr w:rsidR="00C25601">
              <w:trPr>
                <w:trHeight w:val="300"/>
              </w:trPr>
              <w:tc>
                <w:tcPr>
                  <w:tcW w:w="13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Бюджетн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ые притоки</w:t>
                  </w: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100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000</w:t>
                  </w:r>
                </w:p>
              </w:tc>
              <w:tc>
                <w:tcPr>
                  <w:tcW w:w="679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45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000</w:t>
                  </w:r>
                </w:p>
              </w:tc>
              <w:tc>
                <w:tcPr>
                  <w:tcW w:w="6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60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000</w:t>
                  </w: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90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000</w:t>
                  </w:r>
                </w:p>
              </w:tc>
              <w:tc>
                <w:tcPr>
                  <w:tcW w:w="159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150 000</w:t>
                  </w:r>
                </w:p>
              </w:tc>
            </w:tr>
            <w:tr w:rsidR="00C25601">
              <w:trPr>
                <w:trHeight w:val="300"/>
              </w:trPr>
              <w:tc>
                <w:tcPr>
                  <w:tcW w:w="13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Бюджетные оттоки</w:t>
                  </w:r>
                </w:p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2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9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25601" w:rsidRDefault="00C25601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:rsidR="00C25601" w:rsidRDefault="00C25601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25601">
        <w:tc>
          <w:tcPr>
            <w:tcW w:w="2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количественного и качественного анализа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инструменты анализа в целях разработки мероприятий по совершенствованию их деятельности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:rsidR="00C25601" w:rsidRDefault="008C1D0F">
            <w:pPr>
              <w:widowControl w:val="0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Какой метод оценки инвестиционного проекта позволяет складывать полученные результаты расчетов по разным проектам:</w:t>
            </w:r>
          </w:p>
          <w:p w:rsidR="00C25601" w:rsidRDefault="008C1D0F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дисконтированной окупаемости</w:t>
            </w:r>
          </w:p>
          <w:p w:rsidR="00C25601" w:rsidRDefault="008C1D0F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чистой текущей стоимости</w:t>
            </w:r>
          </w:p>
          <w:p w:rsidR="00C25601" w:rsidRDefault="008C1D0F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внутренней нормы прибыли</w:t>
            </w:r>
          </w:p>
          <w:p w:rsidR="00C25601" w:rsidRDefault="008C1D0F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окупаемости</w:t>
            </w:r>
          </w:p>
          <w:p w:rsidR="00C25601" w:rsidRDefault="008C1D0F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0" w:firstLine="625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Инвестиционный проект следует принять, если:</w:t>
            </w:r>
          </w:p>
          <w:p w:rsidR="00C25601" w:rsidRDefault="008C1D0F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PI(индекс рентабельности инвестиций) &gt; 1</w:t>
            </w:r>
          </w:p>
          <w:p w:rsidR="00C25601" w:rsidRDefault="008C1D0F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 &lt; 1</w:t>
            </w:r>
          </w:p>
          <w:p w:rsidR="00C25601" w:rsidRDefault="008C1D0F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PI = 1</w:t>
            </w:r>
            <w:r>
              <w:rPr>
                <w:rFonts w:ascii="Times New Roman" w:hAnsi="Times New Roman" w:cs="Times New Roman"/>
                <w:vanish/>
                <w:sz w:val="24"/>
              </w:rPr>
              <w:t>Начало формы</w:t>
            </w:r>
          </w:p>
          <w:p w:rsidR="00C25601" w:rsidRDefault="008C1D0F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0" w:firstLine="625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Чистая текущая стоимость (NPV) рассчитывается как:</w:t>
            </w:r>
          </w:p>
          <w:p w:rsidR="00C25601" w:rsidRDefault="008C1D0F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разность дисконтированных денежных потоков доходов и расходов, производимых в процессе реализации инвестиций за прогнозируемый период</w:t>
            </w:r>
          </w:p>
          <w:p w:rsidR="00C25601" w:rsidRDefault="008C1D0F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чистой текущей стоимости денежного притока к чистой текущей стоимости денежного оттока (включая первоначальные инвестиции)</w:t>
            </w:r>
          </w:p>
          <w:p w:rsidR="00C25601" w:rsidRDefault="008C1D0F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среднегодовой величины прибыли (за минусом отчислений в бюджет) от реализации проекта за период к средней величине инвестиций</w:t>
            </w:r>
          </w:p>
          <w:p w:rsidR="00C25601" w:rsidRDefault="008C1D0F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0" w:firstLine="625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Если чистая текущая стоимость (NPV) равна нулю, то проект следует принять при условии, что его реализация:</w:t>
            </w:r>
          </w:p>
          <w:p w:rsidR="00C25601" w:rsidRDefault="008C1D0F">
            <w:pPr>
              <w:widowControl w:val="0"/>
              <w:numPr>
                <w:ilvl w:val="0"/>
                <w:numId w:val="5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усилит поток доходов от ранее осуществленных проектов вложения капитала</w:t>
            </w:r>
          </w:p>
          <w:p w:rsidR="00C25601" w:rsidRDefault="008C1D0F">
            <w:pPr>
              <w:widowControl w:val="0"/>
              <w:numPr>
                <w:ilvl w:val="0"/>
                <w:numId w:val="5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усилит поток расходов от ранее осуществленных проектов вложения капитала</w:t>
            </w:r>
          </w:p>
          <w:p w:rsidR="00C25601" w:rsidRDefault="008C1D0F">
            <w:pPr>
              <w:widowControl w:val="0"/>
              <w:numPr>
                <w:ilvl w:val="0"/>
                <w:numId w:val="5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изменит ни поток доходов, ни поток расходов от ранее осуществленных проектов вложения капитала</w:t>
            </w:r>
          </w:p>
          <w:p w:rsidR="00C25601" w:rsidRDefault="008C1D0F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0" w:firstLine="625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Рассчитать приведенную стоимость 450 тыс.руб, которые инвестор намерен получить через 6 лет, если ставка дисконта r= 7%</w:t>
            </w:r>
          </w:p>
          <w:p w:rsidR="00C25601" w:rsidRDefault="008C1D0F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300 тыс.руб</w:t>
            </w:r>
          </w:p>
          <w:p w:rsidR="00C25601" w:rsidRDefault="008C1D0F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316,9 тыс.руб</w:t>
            </w:r>
          </w:p>
          <w:p w:rsidR="00C25601" w:rsidRDefault="008C1D0F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675тыс.руб</w:t>
            </w:r>
          </w:p>
          <w:p w:rsidR="00C25601" w:rsidRDefault="008C1D0F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639тыс.руб</w:t>
            </w:r>
          </w:p>
          <w:p w:rsidR="00C25601" w:rsidRDefault="00C25601">
            <w:pPr>
              <w:widowControl w:val="0"/>
              <w:ind w:left="36" w:right="33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C25601">
        <w:trPr>
          <w:trHeight w:val="70"/>
        </w:trPr>
        <w:tc>
          <w:tcPr>
            <w:tcW w:w="2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3.Разрабатывает систему диагностики и выявления негативных факторов развития бизнеса организации.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подходы к выявлению негативных факторов развития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разработать систему диагностики для развития бизнеса организации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:rsidR="00C25601" w:rsidRDefault="008C1D0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Тема: «Анализ эффективности и определение сравнительного преимущества инвестиционного проекта государственно-частного партнерства по строительству ТЭЦ»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Цели решения кейса: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1134"/>
              </w:tabs>
              <w:ind w:left="3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показателей эффективности инвестиционного проекта ГЧП и определение сравнительного преимущества;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1134"/>
              </w:tabs>
              <w:ind w:left="3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чувствительности выходных данных заключительной части финансовой модели к изменению прогнозных предпосылок;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1134"/>
              </w:tabs>
              <w:ind w:left="3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Структурирование финансовых параметров соглашения о ГЧП.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Описание: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Вы сотрудник подразделения, осуществляющего анализ проектов ГЧП со стороны публичного партнера субъекта РФ.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Ваше руководство приняло решение о реализации инфраструктурного проекта по строительству теплоэлектростанции на территории особой экономической зоны в рамках государственно-частного партнерства в соответствии с 224-ФЗ.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По итогам внесения ТЭЦ в генеральную схему размещения объектов электроэнергетики и подготовки конкурсной документации были определены следующие параметры инвестиционного проекта: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2507"/>
            </w:tblGrid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Параметр проекта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Значение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Жизненный цикл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 лет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Период строительства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года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Стоимость строительства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1 500 млн.руб.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Соотношение публичного и частного финансирования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40%/60%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Передача функции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оператора частному партнеру на время действия соглашения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Да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Передача рисков частному партнеру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 полном объеме</w:t>
                  </w:r>
                </w:p>
              </w:tc>
            </w:tr>
            <w:tr w:rsidR="00C25601">
              <w:tc>
                <w:tcPr>
                  <w:tcW w:w="20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Освобождение от уплаты налогов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 первые 10 лет</w:t>
                  </w:r>
                </w:p>
              </w:tc>
            </w:tr>
          </w:tbl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целях выбора частного партнера был проведен конкурс. Победитель конкурса представил свою финансовую модель, в которой по итогам прогнозирования предпосылок были определены следующие параметры:</w:t>
            </w:r>
          </w:p>
          <w:p w:rsidR="00C25601" w:rsidRDefault="00C25601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W w:w="4700" w:type="dxa"/>
              <w:tblLayout w:type="fixed"/>
              <w:tblLook w:val="04A0" w:firstRow="1" w:lastRow="0" w:firstColumn="1" w:lastColumn="0" w:noHBand="0" w:noVBand="1"/>
            </w:tblPr>
            <w:tblGrid>
              <w:gridCol w:w="1817"/>
              <w:gridCol w:w="2883"/>
            </w:tblGrid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Параметр проекта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Значение</w:t>
                  </w:r>
                </w:p>
              </w:tc>
            </w:tr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Соотношение  собственных и заемных средств (кредиты) в структуре финансирования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25%/75%</w:t>
                  </w:r>
                </w:p>
              </w:tc>
            </w:tr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Операционные затраты в квартал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100 млн.руб.</w:t>
                  </w:r>
                </w:p>
              </w:tc>
            </w:tr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Выручка в квартал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25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млн.руб.</w:t>
                  </w:r>
                </w:p>
              </w:tc>
            </w:tr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Ставка дисконтирования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24% годовых</w:t>
                  </w:r>
                </w:p>
              </w:tc>
            </w:tr>
            <w:tr w:rsidR="00C25601"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Требуемая доходность на вложенный капитал</w:t>
                  </w:r>
                </w:p>
              </w:tc>
              <w:tc>
                <w:tcPr>
                  <w:tcW w:w="2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 менее 10%</w:t>
                  </w:r>
                </w:p>
              </w:tc>
            </w:tr>
          </w:tbl>
          <w:p w:rsidR="00C25601" w:rsidRDefault="008C1D0F">
            <w:pPr>
              <w:widowControl w:val="0"/>
              <w:tabs>
                <w:tab w:val="left" w:pos="1170"/>
              </w:tabs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финансирования капитальных затрат планируется привлечь кредитные средства:</w:t>
            </w:r>
          </w:p>
          <w:p w:rsidR="00C25601" w:rsidRDefault="00C25601">
            <w:pPr>
              <w:widowControl w:val="0"/>
              <w:tabs>
                <w:tab w:val="left" w:pos="1170"/>
              </w:tabs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W w:w="4767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633"/>
            </w:tblGrid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Параметр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Значение</w:t>
                  </w:r>
                </w:p>
              </w:tc>
            </w:tr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Вид кредита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Невозобновляемая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кредитная линия</w:t>
                  </w:r>
                </w:p>
              </w:tc>
            </w:tr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Порядок выдачи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 первый год строительства по графику: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1кв. – 10%;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2кв. – 40%;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3кв.- 30%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4кв.- 20%</w:t>
                  </w:r>
                </w:p>
              </w:tc>
            </w:tr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Порядок погашения основного долга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Начиная с 4 года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равными долями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в конце каждого года</w:t>
                  </w:r>
                </w:p>
              </w:tc>
            </w:tr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Ставка кредита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20% годовых</w:t>
                  </w:r>
                </w:p>
              </w:tc>
            </w:tr>
            <w:tr w:rsidR="00C25601"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Порядок уплаты процентов</w:t>
                  </w:r>
                </w:p>
              </w:tc>
              <w:tc>
                <w:tcPr>
                  <w:tcW w:w="3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Начиная с 6 года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равными долями в</w:t>
                  </w:r>
                </w:p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конце каждого года</w:t>
                  </w:r>
                </w:p>
              </w:tc>
            </w:tr>
          </w:tbl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осуществления капитальных вложений (в % от стоимости строительства):</w:t>
            </w:r>
          </w:p>
          <w:tbl>
            <w:tblPr>
              <w:tblW w:w="4079" w:type="dxa"/>
              <w:tblLayout w:type="fixed"/>
              <w:tblLook w:val="04A0" w:firstRow="1" w:lastRow="0" w:firstColumn="1" w:lastColumn="0" w:noHBand="0" w:noVBand="1"/>
            </w:tblPr>
            <w:tblGrid>
              <w:gridCol w:w="1078"/>
              <w:gridCol w:w="1134"/>
              <w:gridCol w:w="1867"/>
            </w:tblGrid>
            <w:tr w:rsidR="00C25601"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Квартал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Значение</w:t>
                  </w:r>
                </w:p>
              </w:tc>
            </w:tr>
            <w:tr w:rsidR="00C25601">
              <w:tc>
                <w:tcPr>
                  <w:tcW w:w="10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5%</w:t>
                  </w:r>
                </w:p>
              </w:tc>
            </w:tr>
            <w:tr w:rsidR="00C25601">
              <w:tc>
                <w:tcPr>
                  <w:tcW w:w="10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22%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23%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22%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10%</w:t>
                  </w:r>
                </w:p>
              </w:tc>
            </w:tr>
            <w:tr w:rsidR="00C25601">
              <w:tc>
                <w:tcPr>
                  <w:tcW w:w="10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5%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C25601">
              <w:tc>
                <w:tcPr>
                  <w:tcW w:w="10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C2560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5601" w:rsidRDefault="008C1D0F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</w:tbl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Ввод построенного объекта в эксплуатацию будет осуществлен во 2 квартале 4 года.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</w:rPr>
              <w:t>Задание: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3"/>
              </w:num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Рассчитайте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NPV</w:t>
            </w:r>
            <w:r>
              <w:rPr>
                <w:rFonts w:ascii="Times New Roman" w:hAnsi="Times New Roman" w:cs="Times New Roman"/>
                <w:sz w:val="24"/>
              </w:rPr>
              <w:t xml:space="preserve"> проекта по строительству ТЭЦ по прогнозным предпосылкам финансовой модели частного партнера.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3"/>
              </w:num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региона способен самостоятельно профинансировать инвестиционный проект без осуществления дополнительных заимствований. Будет ли выгоднее осуществить проект в рамках  стандартной процедуры государственных закупок?</w:t>
            </w:r>
          </w:p>
          <w:p w:rsidR="00C25601" w:rsidRDefault="008C1D0F">
            <w:pPr>
              <w:pStyle w:val="aff"/>
              <w:widowControl w:val="0"/>
              <w:numPr>
                <w:ilvl w:val="0"/>
                <w:numId w:val="23"/>
              </w:num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Определите:</w:t>
            </w:r>
          </w:p>
          <w:p w:rsidR="00C25601" w:rsidRDefault="008C1D0F">
            <w:pPr>
              <w:pStyle w:val="aff"/>
              <w:widowControl w:val="0"/>
              <w:ind w:left="0" w:firstLine="709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Какой порядок вознаграждения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частному инвестору необходимо предусмотреть в соглашении о ГЧП на основе модели, представленной частным партнером?</w:t>
            </w:r>
          </w:p>
          <w:p w:rsidR="00C25601" w:rsidRDefault="008C1D0F">
            <w:pPr>
              <w:pStyle w:val="aff"/>
              <w:widowControl w:val="0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- Публичный партнер получил от своего консультанта финансовую модель, в которой ставка дисконтирования установлена в размере 20% годовых. Повлияет ли данный фактор на изменение порядка вознаграждения?  (при необходимости установления гарантии минимальной доходности указать значение в млн.руб. с точностью до сотых).</w:t>
            </w:r>
          </w:p>
          <w:p w:rsidR="00C25601" w:rsidRDefault="008C1D0F">
            <w:pPr>
              <w:widowControl w:val="0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Сможет ли частный партнер оставить в собственности построенную ТЭЦ по истечении срока соглашения о ГЧП?</w:t>
            </w:r>
          </w:p>
          <w:p w:rsidR="00C25601" w:rsidRDefault="00C25601">
            <w:pPr>
              <w:widowControl w:val="0"/>
              <w:tabs>
                <w:tab w:val="left" w:pos="1170"/>
              </w:tabs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5601">
        <w:tc>
          <w:tcPr>
            <w:tcW w:w="2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инструменты и классификацию управленческих решений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необходимые управленческие решения в целях минимизации возможных потерь проекта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302"/>
              </w:tabs>
              <w:jc w:val="center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Задание 1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Временные отрезки, на которые разбивается расчетный период для агрегирования денежных потоков, называются: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проектным циклом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шагами расчета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расчетным периодом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К группе статистических методов относятся: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срок окупаемости инвестиций(PP) и коэффициент эффективности инвестиций(ARR)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индекс рентабельности (PI), чистая текущая стоимость (NPV), коэффициент эффективности инвестиций (ARR)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внутренняя норма прибыли (IRR), срок окупаемости инвестиций(PP), индекс рентабельности (PI)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чистая текущая стоимость (NPV), коэффициент эффективности инвестиций(ARR)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Методы оценки эффективности инвестиций, в которых денежные потоки, вызванные реализацией проекта, приводятся к эквивалентной основе посредством их дисконтирования, обеспечивая сопоставимость разновременных денежных потоков, называются: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Статистическими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Динамическими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Математическими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Геометрическими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Отношением чистой текущей стоимости денежного притока к чистой текущей стоимости денежного оттока (включая первоначальные инвестиции) при оценке инвестиционных проектов рассчитывается: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внутренняя норма прибыли (IRR)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индекс рентабельности инвестиций (PI)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ожидаемая доходность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ковариация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Рассчитать срок окупаемости инвестиционного проекта, если первоначальные затраты составили 500000 рублей, а приведенная стоимость через 4 года составит 509429 рублей: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3,93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4,08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0,98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1,02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Рассчитать индекс рентабельности инвестиционного проекта, предполагающего единовременные затраты в размере 100000 рублей и ожидаемым доходом через три года 120000 рублей, если ставка дисконта равна 10% 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0,9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0,75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1,9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0,63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0,76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Потоки денег от инвестиционного проекта это: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потоки денег от прединвестиционной, инвестиционной, операционной и ликвидационной деятельности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выручка, затраты, капиталовложения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потоки от инвестиционной, операционной и финансовой деятельности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потоки денег от производственной деятельности и капитальные затраты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К притокам денег от инвестиционной деятельности можно отнести: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внереализованный доход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уменьшение дебиторской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получение кредита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уменьшение кредиторской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К оттокам денег от финансовой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деятельности можно отнести: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затраты на обслуживание займов и выпущенных предприятием ценных долговых бумаг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увеличение дебиторской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увеличение кредиторской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К притокам денег от финансовой деятельности можно отнести: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внереализационный доход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уменьшение дебиторской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получение кредита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уменьшение кредиторской задолженности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К притокам денег от операционной деятельности можно отнести: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доходы от инвестиций в ценные бумаги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выплату дивидендов по акциям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выручку от реализации продукции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К оттокам денег от инвестиционной деятельности можно отнести: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затраты на увеличение оборотного капитала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приобретение сырья, материалов</w:t>
            </w:r>
          </w:p>
          <w:p w:rsidR="00C25601" w:rsidRDefault="008C1D0F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расходы на оплату труда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  <w:t>поступление от продажи ценных бумаг</w:t>
            </w:r>
          </w:p>
        </w:tc>
      </w:tr>
      <w:tr w:rsidR="00C25601"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C2560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5.Разрабатывает  методы анализа эффективности  реализации экономических проектов, а также методики их оценки.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методики оценки и анализа эффективности проектов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C25601" w:rsidRDefault="008C1D0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оценивать эффективность экономических проектов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Задание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Федеральный закон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 от 13.07.2015 № 224-ФЗ: основные понятия и определения, в т.ч. разработка и рассмотрение предложения о реализации проекта государственно-частного партнерства, проекта муниципально-частного партнерства.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Задача. Для того, чтобы предприятие проработало на рынке 10 лет необходимо приобрести оборудование. При этом предприятие требует, как минимум 13 процентов отдачи при инвестировании собственных средств (ставка дисконтирования).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В настоящее время (0-й год) есть возможность купить новое оборудование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стоимостью 80 000. Использование этого оборудования позволит произвести такой объем выпускаемой продукции, который приведет к 15 000 годового денежного дохода в течение 10 лет использования оборудования.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 Необходимо решить, выгоден ли проект, рассчитав: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1.1. NPV;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1.2. Дисконтированный срок окупаемости проекта.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 При 12% ставки дисконтирования предприятия на свои инвестиции (вместо 13%) дисконтированный срок окупаемости уменьшится или увеличится?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Тесты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 Что не относят к элементам инвестиций?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материальные вложения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денежно-финансовые вложения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имущественные права в связи с авторским правом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залоговые права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 Капитальные вложения - это: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размещение капитала в ценные бумаги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инвестирование в создание новых или воспроизводство действующих основных фондов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инвестиции в любые объекты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инвестиции в новые технологии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 Чистая текущая стоимость (NPV) рассчитывается как: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разность дисконтированных денежных потоков доходов и расходов, производимых в процессе реализации инвестиций за прогнозируемый период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отношение чистой текущей стоимости денежного притока к чистой текущей стоимости денежного оттока (включая первоначальные инвестиции)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отношение среднегодовой величины прибыли (за минусом отчислений в бюджет) от реализации проекта за период к средней величине инвестиций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 Оценка инвестиционного проекта заключается в оценке эффективности проекта: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в целом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для каждого из участников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с точки зрения общества и отдельной, генерирующей проект организации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 5.  Что должна обеспечить инвестору норма дохода?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Управление бизнесом, в который инвестор вкладывает денежные средства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Возврат вложений, премию за отказ от текущего потребления, компенсацию финансового риска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Управление бизнесом и дивиденды акционера по результатам хозяйственной деятельности компании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Возврат вложений и дополнительный процент от прибыли, жестко закрепленный в договоре с другими совладельцами бизнеса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6. В каком случае инвестиционный аналитик может попасть в тупик при сравнительной оценке эффективности проекта?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По одному из вариантов проектного решения NPV и IRR выше, чем по другим вариантам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По одному из вариантов проектного решения NPV выше, чем по другим вариантам, а IRR ниже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По одному из вариантов проектного решения NPV и IRR ниже, чем по другим вариантам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По одному из вариантов проектного решения NPV ниже, чем по другим вариантам, а IRR выше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 Если инвестиционный проект оказывает влияние на экономическую, социальную и экологическую ситуацию отдельной страны, то это: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Локальный проект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Глобальный проект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Крупномасштабный проект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Региональный проект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8. Технико-экономическое обоснование инвестиций – это: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Метод выбора стратегических решений проекта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Документ, обосновывающий целесообразность и эффективность инвестиций в разрабатываемый проект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Документ, в котором детализируются и уточняются решения, принятые на прединвестиционной стадии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9. Каково минимальное значение индекса рентабельности инвестиционного проекта?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1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   b. 0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0,5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10.  Рассчитать срок окупаемости инвестиционного проекта, если первоначальные затраты составили 500 000 рублей, а приведенная стоимость через 4 года составит 509429 рублей: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a. 3,93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b. 4,08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c. 0,98</w:t>
            </w:r>
          </w:p>
          <w:p w:rsidR="00C25601" w:rsidRDefault="008C1D0F">
            <w:pPr>
              <w:widowControl w:val="0"/>
              <w:tabs>
                <w:tab w:val="left" w:pos="302"/>
              </w:tabs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d. 1,02</w:t>
            </w:r>
          </w:p>
        </w:tc>
      </w:tr>
    </w:tbl>
    <w:p w:rsidR="00C25601" w:rsidRDefault="00C25601">
      <w:pPr>
        <w:widowControl w:val="0"/>
        <w:rPr>
          <w:rFonts w:ascii="Times New Roman" w:eastAsia="Calibri" w:hAnsi="Times New Roman" w:cs="Times New Roman"/>
          <w:szCs w:val="28"/>
          <w:lang w:eastAsia="en-US"/>
        </w:rPr>
      </w:pPr>
    </w:p>
    <w:p w:rsidR="00C25601" w:rsidRDefault="008C1D0F">
      <w:pPr>
        <w:spacing w:before="120" w:after="120" w:line="360" w:lineRule="auto"/>
        <w:jc w:val="center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</w:rPr>
        <w:t>Примерный перечень вопросов к  зачету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Основные положения концепции отложенного потребления и экономическая целесообразность инвестиций.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Понятие, экономическая сущность и виды инвестиций. Классификация инвестиций: реальные и портфельные.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Инвестиционный проект в системе экономических отношений: рынок инвестиционных проектов, отношения собственности в рамках инвестиционного проекта, кругооборот капитала, авансированного</w:t>
      </w:r>
      <w:r>
        <w:rPr>
          <w:rFonts w:ascii="Times New Roman" w:hAnsi="Times New Roman" w:cs="Times New Roman"/>
        </w:rPr>
        <w:tab/>
        <w:t xml:space="preserve">в   проект.  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  инвестиционного   капитала   и стоимость проекта.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Виды инвестиционных проектов, стадия разработки и анализа проекта.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Общая последовательность разработки и анализа проекта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Анализ коммерческой выполнимости проекта. Технический анализ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Финансовый анализ. Экономический анализ. Институциональный анализ.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Анализ рисков.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Инвестиционный проект, направленный на развитие общественной инфраструктуры. Особенности инфраструктурного проекта. Особенности проекта государственно-частного партнерства.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</w:t>
      </w:r>
      <w:r>
        <w:rPr>
          <w:rFonts w:ascii="Times New Roman" w:hAnsi="Times New Roman" w:cs="Times New Roman"/>
        </w:rPr>
        <w:tab/>
        <w:t>критерии   эффективности   инвестиционного   проекта.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Содержание и специфика оценки коммерческой, бюджетной и финансовой эффективности проектов.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Содержание и специфика оценки общественной эффективности проектов. Влияние общественного эффекта проекта на его коммерческую эффективность.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Понятия инвестиционной привлекательности, потенциала и рисков </w:t>
      </w:r>
      <w:r>
        <w:rPr>
          <w:rFonts w:ascii="Times New Roman" w:hAnsi="Times New Roman" w:cs="Times New Roman"/>
        </w:rPr>
        <w:lastRenderedPageBreak/>
        <w:t xml:space="preserve">проекта.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Методы оценки эффективности инвестиционного проекта и их классификация. Простейшие методы оценки привлекательности инвестиций.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методов иерархий и парных сравнений при анализе качественных характеристик инвестиционных проектов.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оценки эффективности инвестиций, основанные на дисконтировании денежных потоков. Показатели для оценки эффективности проекта: чистая текущая стоимость проекта, внутренняя норма прибыли, рентабельность инвестиций.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оценки конкурирующих инвестиций: взаимоисключающие инвестиции, применение показателя компаратора государственного сектора,  учет различий в сроках жизни проектов, метод затратной эффективности.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этапы финансово-экономического анализа  проектов  ГЧП.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и методы выбора инвестиционных альтернатив. Рейтинговая оценка привлекательности проекта ГЧП.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Особая роль проектов государственно-частного партнерства в системе рыночных отношений и критерии их эффективности. Влияние бюджетных ограничений на инвестиционные планы и программы развития территорий. 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Особенности    анализа    эффективности    проектов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Cs/>
        </w:rPr>
        <w:t xml:space="preserve">государственно-частного партнерства с позиций публичного сектора.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Использование компаратора государственного сектора при подготовке и реализации инвестиционных программ с использованием механизмов ГЧП. Оценка социально- экономической эффективности. Оценка бюджетной эффективности. Оценка косвенных эффектов. 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анализа эффективности проектов при применении различных моделей государственно-частного партнерства.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t>Основные международные методы (подходы) к оценке эффективности проектов и их особенности: анализ «затраты-результативность»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effectiveness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CEA</w:t>
      </w:r>
      <w:r>
        <w:rPr>
          <w:rFonts w:ascii="Times New Roman" w:hAnsi="Times New Roman" w:cs="Times New Roman"/>
          <w:bCs/>
          <w:szCs w:val="28"/>
        </w:rPr>
        <w:t>)); анализ «затраты-полезность»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utility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CUA</w:t>
      </w:r>
      <w:r>
        <w:rPr>
          <w:rFonts w:ascii="Times New Roman" w:hAnsi="Times New Roman" w:cs="Times New Roman"/>
          <w:bCs/>
          <w:szCs w:val="28"/>
        </w:rPr>
        <w:t>)); анализ «затраты-взвешенная результативность» (</w:t>
      </w:r>
      <w:r>
        <w:rPr>
          <w:rFonts w:ascii="Times New Roman" w:hAnsi="Times New Roman" w:cs="Times New Roman"/>
          <w:bCs/>
          <w:szCs w:val="28"/>
          <w:lang w:val="en-US"/>
        </w:rPr>
        <w:t>weighted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effectiveness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WCEA</w:t>
      </w:r>
      <w:r>
        <w:rPr>
          <w:rFonts w:ascii="Times New Roman" w:hAnsi="Times New Roman" w:cs="Times New Roman"/>
          <w:bCs/>
          <w:szCs w:val="28"/>
        </w:rPr>
        <w:t>)); анализ «затраты-выгоды» (</w:t>
      </w:r>
      <w:r>
        <w:rPr>
          <w:rFonts w:ascii="Times New Roman" w:hAnsi="Times New Roman" w:cs="Times New Roman"/>
          <w:bCs/>
          <w:szCs w:val="28"/>
          <w:lang w:val="en-US"/>
        </w:rPr>
        <w:t>cost</w:t>
      </w:r>
      <w:r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  <w:lang w:val="en-US"/>
        </w:rPr>
        <w:t>benefit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en-US"/>
        </w:rPr>
        <w:t>analysis</w:t>
      </w:r>
      <w:r>
        <w:rPr>
          <w:rFonts w:ascii="Times New Roman" w:hAnsi="Times New Roman" w:cs="Times New Roman"/>
          <w:bCs/>
          <w:szCs w:val="28"/>
        </w:rPr>
        <w:t xml:space="preserve"> (</w:t>
      </w:r>
      <w:r>
        <w:rPr>
          <w:rFonts w:ascii="Times New Roman" w:hAnsi="Times New Roman" w:cs="Times New Roman"/>
          <w:bCs/>
          <w:szCs w:val="28"/>
          <w:lang w:val="en-US"/>
        </w:rPr>
        <w:t>CBA</w:t>
      </w:r>
      <w:r>
        <w:rPr>
          <w:rFonts w:ascii="Times New Roman" w:hAnsi="Times New Roman" w:cs="Times New Roman"/>
          <w:bCs/>
          <w:szCs w:val="28"/>
        </w:rPr>
        <w:t xml:space="preserve">)).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Методология оценки затрат и выгод (</w:t>
      </w:r>
      <w:r>
        <w:rPr>
          <w:rFonts w:ascii="Times New Roman" w:hAnsi="Times New Roman" w:cs="Times New Roman"/>
          <w:szCs w:val="28"/>
          <w:lang w:val="en-US"/>
        </w:rPr>
        <w:t>Cost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Benefit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Analysis</w:t>
      </w:r>
      <w:r>
        <w:rPr>
          <w:rFonts w:ascii="Times New Roman" w:hAnsi="Times New Roman" w:cs="Times New Roman"/>
          <w:szCs w:val="28"/>
        </w:rPr>
        <w:t xml:space="preserve">): принципы метода </w:t>
      </w:r>
      <w:r>
        <w:rPr>
          <w:rFonts w:ascii="Times New Roman" w:hAnsi="Times New Roman" w:cs="Times New Roman"/>
          <w:szCs w:val="28"/>
          <w:lang w:val="en-US"/>
        </w:rPr>
        <w:t>CBA</w:t>
      </w:r>
      <w:r>
        <w:rPr>
          <w:rFonts w:ascii="Times New Roman" w:hAnsi="Times New Roman" w:cs="Times New Roman"/>
          <w:szCs w:val="28"/>
        </w:rPr>
        <w:t xml:space="preserve">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eastAsia="ru-RU"/>
        </w:rPr>
        <w:t xml:space="preserve">Этапы проведения оценки инвестиционных проектов (в соответствии с руководством Европейской комиссии). </w:t>
      </w:r>
      <w:r>
        <w:rPr>
          <w:rFonts w:ascii="Times New Roman" w:hAnsi="Times New Roman" w:cs="Times New Roman"/>
          <w:szCs w:val="28"/>
        </w:rPr>
        <w:t xml:space="preserve">Сравнение методов оценки </w:t>
      </w:r>
      <w:r>
        <w:rPr>
          <w:rFonts w:ascii="Times New Roman" w:hAnsi="Times New Roman" w:cs="Times New Roman"/>
          <w:szCs w:val="28"/>
        </w:rPr>
        <w:lastRenderedPageBreak/>
        <w:t>социальной ставки дисконтирования (SRTP и SOC).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Основные положения рекомендаций</w:t>
      </w:r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по оценке эффективности инвестиционных проектов и их отбору для финансирования.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Основные правила формирования и использования бюджетных ассигнований Инвестиционного фонда РФ.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Критерии эффективности региональных инвестиционных проектов; публичный технологический и ценовой аудит крупных инвестиционных проектов).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Методика оценки эффективности и определение сравнительного преимущества проекта ГЧП (</w:t>
      </w:r>
      <w:r>
        <w:rPr>
          <w:rFonts w:ascii="Times New Roman" w:hAnsi="Times New Roman" w:cs="Times New Roman"/>
          <w:bCs/>
          <w:szCs w:val="28"/>
        </w:rPr>
        <w:t>Приказ от 30 ноября 2015 г. N 894</w:t>
      </w:r>
      <w:r>
        <w:rPr>
          <w:rFonts w:ascii="Times New Roman" w:hAnsi="Times New Roman" w:cs="Times New Roman"/>
          <w:szCs w:val="28"/>
        </w:rPr>
        <w:t xml:space="preserve">). Анализ основных требований и рекомендации к заполнению формы предложения о реализации проекта ГЧП. </w:t>
      </w:r>
    </w:p>
    <w:p w:rsidR="00C25601" w:rsidRDefault="008C1D0F">
      <w:pPr>
        <w:widowControl w:val="0"/>
        <w:numPr>
          <w:ilvl w:val="0"/>
          <w:numId w:val="12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Подходы к оценке сравнительного преимущества проектов ГЧП по сравнению с госзаказом. </w:t>
      </w:r>
    </w:p>
    <w:p w:rsidR="00C25601" w:rsidRDefault="00C25601">
      <w:pPr>
        <w:spacing w:after="240"/>
        <w:jc w:val="center"/>
        <w:outlineLvl w:val="0"/>
        <w:rPr>
          <w:rFonts w:ascii="Times New Roman" w:hAnsi="Times New Roman" w:cs="Times New Roman"/>
          <w:b/>
          <w:bCs/>
          <w:szCs w:val="28"/>
        </w:rPr>
      </w:pPr>
    </w:p>
    <w:p w:rsidR="00C25601" w:rsidRDefault="008C1D0F">
      <w:pPr>
        <w:spacing w:after="240"/>
        <w:outlineLvl w:val="0"/>
        <w:rPr>
          <w:rFonts w:ascii="Times New Roman" w:hAnsi="Times New Roman" w:cs="Times New Roman"/>
          <w:b/>
          <w:bCs/>
          <w:szCs w:val="28"/>
        </w:rPr>
      </w:pPr>
      <w:bookmarkStart w:id="8" w:name="__RefHeading___Toc904014361"/>
      <w:bookmarkEnd w:id="8"/>
      <w:r>
        <w:rPr>
          <w:rFonts w:ascii="Times New Roman" w:hAnsi="Times New Roman" w:cs="Times New Roman"/>
          <w:b/>
          <w:bCs/>
          <w:i/>
          <w:color w:val="000000"/>
          <w:szCs w:val="28"/>
        </w:rPr>
        <w:t xml:space="preserve"> 8. </w:t>
      </w:r>
      <w:r>
        <w:rPr>
          <w:rFonts w:ascii="Times New Roman" w:hAnsi="Times New Roman" w:cs="Times New Roman"/>
          <w:b/>
          <w:bCs/>
          <w:color w:val="000000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C25601" w:rsidRDefault="00C25601">
      <w:pPr>
        <w:rPr>
          <w:rFonts w:ascii="Times New Roman" w:hAnsi="Times New Roman" w:cs="Times New Roman"/>
          <w:b/>
          <w:kern w:val="2"/>
          <w:szCs w:val="28"/>
        </w:rPr>
      </w:pPr>
    </w:p>
    <w:p w:rsidR="00C25601" w:rsidRDefault="008C1D0F">
      <w:pPr>
        <w:pStyle w:val="2"/>
        <w:ind w:firstLine="708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Нормативные акты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172-ФЗ от 28.06.2014 г. «О стратегическом планировании в Российской Федерации»;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146-ФЗ от 31.07.1998 г. «Налоговый кодекс Российской Федерации. Часть 1»;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117-ФЗ от 05.08.2000 г. «Налоговый кодекс Российской Федерации. Часть 2»;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145-ФЗ от 31.07.1998 г. «Бюджетный кодекс Российской Федерации»;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190-ФЗ от 29.12.2004 г. «Градостроительный кодекс Российской Федерации»;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131-ФЗ от 06.10.2003 г. «Об общих принципах организации местного самоуправления в Российской Федерации»;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Стратегия национальной безопасности Российской Федерации до 2020 год (утверждена Указом Президента РФ от 12.05.2009 г. № 537)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Концепция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г. № 1662-р);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направления деятельности Правительства Российской Федерации;</w:t>
      </w:r>
    </w:p>
    <w:p w:rsidR="00C25601" w:rsidRDefault="008C1D0F">
      <w:pPr>
        <w:numPr>
          <w:ilvl w:val="0"/>
          <w:numId w:val="9"/>
        </w:numPr>
        <w:spacing w:line="360" w:lineRule="auto"/>
        <w:ind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государственных программ Российской Федерации (утвержден распоряжением Правительства Российской Федерации от 11.11.2010 г. № 1950-р).</w:t>
      </w:r>
    </w:p>
    <w:p w:rsidR="00C25601" w:rsidRDefault="008C1D0F">
      <w:pPr>
        <w:pStyle w:val="2"/>
        <w:ind w:firstLine="708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Основная литература</w:t>
      </w:r>
    </w:p>
    <w:p w:rsidR="00C25601" w:rsidRDefault="008C1D0F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1. Алексеев, В. Н. Формирование инвестиционного проекта и оценка его эффективности : учебно-практическое пособие / В. Н. Алексеев, Н. Н. Шарков. — 4-е изд. — Москва : Издательско-торговая корпорация «Дашков и К°», 2020. — 176 с. - ЭБС ZNANIUM.com. - URL: https://znanium.com/catalog/product/1091143 (дата обращения: 13.10.2022). - Текст : электронный.</w:t>
      </w:r>
    </w:p>
    <w:p w:rsidR="00C25601" w:rsidRDefault="008C1D0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Cs w:val="28"/>
        </w:rPr>
        <w:t>2. Дамодаран, А. Инвестиционная оценка: инструменты и методы оценки любых активов : учебно-практическое пособие / А. Дамодаран. - 11-е изд., перераб. и доп. - Москва : Альпина Паблишер, 2021. - 1316 с. - ЭБС ZNANIUM.com. - URL: https://znanium.com/catalog/product/1838938 (дата обращения:14.10.2022). – Текст : электронный.</w:t>
      </w:r>
    </w:p>
    <w:p w:rsidR="00C25601" w:rsidRDefault="008C1D0F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3. Еганян, А. Инвестиции в инфраструктуру. Деньги, проекты, интересы. ГЧП, концессии, проектное финансирование / А. Еганян. - Москва: Альпина Паблишер, 2015 - 716 с. – Текст : непосредственный. - То же. - ЭБС Альпина. - URL: https://finunivers.alpinadigital.ru/book/4315 ; То же. - 2016. - ЭБС ZNANIUM.com. - URL: https://znanium.com/catalog/product/912791 (дата обращения: 13.10.2022). – Текст : электронный.</w:t>
      </w:r>
    </w:p>
    <w:p w:rsidR="00C25601" w:rsidRDefault="008C1D0F">
      <w:pPr>
        <w:pStyle w:val="2"/>
        <w:ind w:firstLine="708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lastRenderedPageBreak/>
        <w:t xml:space="preserve">Дополнительная литература </w:t>
      </w:r>
    </w:p>
    <w:p w:rsidR="00C25601" w:rsidRDefault="008C1D0F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 Прогнозирование и планирование в условиях рынка: учебное пособие / Т.Н. Бабич, И.А. Козьева, Ю.В. Вертакова, Э.Н. Кузьбожев. - Москва: Инфра-М, 2012, 2013. - 336 с. - Текст непосредственный. - (Высшее образование: Бакалавриат). — То же. - 2018. - ЭБС ZNANIUM.com. - URL: https://znanium.com/catalog/product/944382 (дата обращения: 14.10.2022). — Текст : электронный.</w:t>
      </w:r>
    </w:p>
    <w:p w:rsidR="00C25601" w:rsidRDefault="008C1D0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Cs w:val="28"/>
        </w:rPr>
        <w:t>5.  Йескомб, Э.Р. Принципы проектного финансирования:  пер. с англ. / Э.Р. Йескомб. - Москва.: Альпина Паблишер, 2015. - 408 с. – Текст : непосредственный. - То же. - 2016. - ЭБС Alpina Digital. - URL: https://finunivers.alpinadigital.ru/book/7936 (дата обращения: 13.10.2022). – Текст : электронный.</w:t>
      </w:r>
    </w:p>
    <w:p w:rsidR="00C25601" w:rsidRDefault="008C1D0F">
      <w:pPr>
        <w:pStyle w:val="aff"/>
        <w:spacing w:line="360" w:lineRule="auto"/>
        <w:ind w:left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Cs w:val="28"/>
        </w:rPr>
        <w:t>6. Березовская, Е. А. Теория и практика оценки эффективности инвестиционных проектов : учебное пособие / Е. А. Березовская, С. В. Крюков; Южный федеральный университет. - Ростов-на-Дону ; Таганрог : Издательство Южного федерального университета, 2018. - 102 с. - ЭБС BOOK.ru. - URL: https://znanium.com/catalog/product/1021616 (дата обращения: 14.10.2022). – Текст : электронный.</w:t>
      </w:r>
    </w:p>
    <w:p w:rsidR="00C25601" w:rsidRDefault="008C1D0F">
      <w:pPr>
        <w:pStyle w:val="aff"/>
        <w:spacing w:line="360" w:lineRule="auto"/>
        <w:ind w:left="0"/>
        <w:contextualSpacing/>
        <w:jc w:val="both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7.   Кон, М. Agile: оценка и планирование проектов / М. Кон; пер. с англ. — Москва: Альпина Паблишер, 2018. - 418 с. -  ЭБС Alpina Digital. - URL: https://finunivers.alpinadigital.ru/book/15666 (дата обращения: 14.10.2022). - Текст : электронный.</w:t>
      </w:r>
    </w:p>
    <w:p w:rsidR="00C25601" w:rsidRDefault="008C1D0F">
      <w:pPr>
        <w:pStyle w:val="aff"/>
        <w:spacing w:line="360" w:lineRule="auto"/>
        <w:ind w:left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Cs w:val="28"/>
        </w:rPr>
        <w:t>8.   Горбунов, В. Л. Бизнес-планирование с оценкой рисков и эффективности проектов : научно-практическое пособие / В.Л. Горбунов. — 2-е изд. — Москва : РИОР : ИНФРА-М, 2022. — 288 с. — (Наука и практика). — DOI: https://doi.org/10.12737/0611-5. – ЭБС ZNANIUM.com. - URL: https://znanium.com/catalog/product/1850118 (дата обращения: 26.09.2022). – - Текст : электронный.</w:t>
      </w:r>
    </w:p>
    <w:p w:rsidR="00C25601" w:rsidRDefault="008C1D0F">
      <w:pPr>
        <w:pStyle w:val="aff"/>
        <w:spacing w:line="360" w:lineRule="auto"/>
        <w:ind w:left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2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Официальный сайт Правительства Российской Федерации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– </w:t>
      </w:r>
      <w:r>
        <w:rPr>
          <w:rFonts w:ascii="Times New Roman" w:hAnsi="Times New Roman" w:cs="Times New Roman"/>
          <w:color w:val="000000"/>
        </w:rPr>
        <w:t>http://government.ru/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Официальный сайт Министерства экономического развития Российской Федерации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– </w:t>
      </w:r>
      <w:r>
        <w:rPr>
          <w:rFonts w:ascii="Times New Roman" w:hAnsi="Times New Roman" w:cs="Times New Roman"/>
          <w:color w:val="000000"/>
        </w:rPr>
        <w:t>http://economy.gov.ru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>Официальный сайт Министерства финансов Российской Федерации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– </w:t>
      </w:r>
      <w:r>
        <w:rPr>
          <w:rFonts w:ascii="Times New Roman" w:hAnsi="Times New Roman" w:cs="Times New Roman"/>
          <w:color w:val="000000"/>
        </w:rPr>
        <w:t>http://www.minfin.ru/ru/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Официальный сайт Министерства строительства и жилищно-коммунального хозяйства Российской Федерации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– </w:t>
      </w:r>
      <w:r>
        <w:rPr>
          <w:rFonts w:ascii="Times New Roman" w:hAnsi="Times New Roman" w:cs="Times New Roman"/>
          <w:color w:val="000000"/>
        </w:rPr>
        <w:t>http://www.minstroyrf.ru/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Официальный сайт Федеральной службы государственной статистики (Росстат)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kern w:val="2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kern w:val="2"/>
          <w:szCs w:val="28"/>
        </w:rPr>
        <w:t>.</w:t>
      </w:r>
      <w:r>
        <w:rPr>
          <w:rFonts w:ascii="Times New Roman" w:hAnsi="Times New Roman" w:cs="Times New Roman"/>
          <w:color w:val="000000"/>
          <w:kern w:val="2"/>
          <w:szCs w:val="28"/>
          <w:lang w:val="en-US"/>
        </w:rPr>
        <w:t>gks</w:t>
      </w:r>
      <w:r>
        <w:rPr>
          <w:rFonts w:ascii="Times New Roman" w:hAnsi="Times New Roman" w:cs="Times New Roman"/>
          <w:color w:val="000000"/>
          <w:kern w:val="2"/>
          <w:szCs w:val="28"/>
        </w:rPr>
        <w:t>.</w:t>
      </w:r>
      <w:r>
        <w:rPr>
          <w:rFonts w:ascii="Times New Roman" w:hAnsi="Times New Roman" w:cs="Times New Roman"/>
          <w:color w:val="000000"/>
          <w:kern w:val="2"/>
          <w:szCs w:val="28"/>
          <w:lang w:val="en-US"/>
        </w:rPr>
        <w:t>ru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C25601" w:rsidRDefault="008C1D0F">
      <w:pPr>
        <w:numPr>
          <w:ilvl w:val="0"/>
          <w:numId w:val="11"/>
        </w:numPr>
        <w:spacing w:line="360" w:lineRule="auto"/>
        <w:ind w:left="0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Справочная правовая система «Консультант Плюс» </w:t>
      </w:r>
      <w:r>
        <w:rPr>
          <w:rFonts w:ascii="Times New Roman" w:hAnsi="Times New Roman" w:cs="Times New Roman"/>
          <w:color w:val="000000"/>
          <w:kern w:val="2"/>
          <w:szCs w:val="28"/>
        </w:rPr>
        <w:t>–</w:t>
      </w:r>
      <w:r>
        <w:rPr>
          <w:rFonts w:ascii="Times New Roman" w:hAnsi="Times New Roman" w:cs="Times New Roman"/>
          <w:color w:val="000000"/>
          <w:szCs w:val="28"/>
        </w:rPr>
        <w:t xml:space="preserve"> www.consultant.ru</w:t>
      </w:r>
    </w:p>
    <w:p w:rsidR="00C25601" w:rsidRDefault="008C1D0F">
      <w:pPr>
        <w:pStyle w:val="aff"/>
        <w:numPr>
          <w:ilvl w:val="0"/>
          <w:numId w:val="1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Cs w:val="28"/>
        </w:rPr>
        <w:t xml:space="preserve">Национальное рейтинговое агентство «РА Эксперт» «Рейтинг инвестиционной привлекательности регионов» - [Электронный ресурс]. - Режим доступа: </w:t>
      </w:r>
      <w:hyperlink r:id="rId18">
        <w:r>
          <w:rPr>
            <w:rFonts w:ascii="Times New Roman" w:hAnsi="Times New Roman" w:cs="Times New Roman"/>
            <w:bCs/>
            <w:szCs w:val="28"/>
          </w:rPr>
          <w:t>http://www.ra-national.ru/ru/taxonomy/term/90?type=rating</w:t>
        </w:r>
      </w:hyperlink>
      <w:r>
        <w:rPr>
          <w:rFonts w:ascii="Times New Roman" w:hAnsi="Times New Roman" w:cs="Times New Roman"/>
          <w:bCs/>
          <w:color w:val="000000"/>
          <w:szCs w:val="28"/>
        </w:rPr>
        <w:t xml:space="preserve">  </w:t>
      </w:r>
    </w:p>
    <w:p w:rsidR="00C25601" w:rsidRDefault="008C1D0F">
      <w:pPr>
        <w:pStyle w:val="aff"/>
        <w:numPr>
          <w:ilvl w:val="0"/>
          <w:numId w:val="11"/>
        </w:numPr>
        <w:spacing w:line="36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Исследования Национального центра ГЧП «Рейтинг регионов России по уровню развития государственно-частного партнерства» - [Электронный ресурс]. - Режим доступа: </w:t>
      </w:r>
      <w:hyperlink r:id="rId19">
        <w:r>
          <w:rPr>
            <w:rFonts w:ascii="Times New Roman" w:hAnsi="Times New Roman" w:cs="Times New Roman"/>
            <w:color w:val="000000"/>
            <w:szCs w:val="28"/>
          </w:rPr>
          <w:t>http://pppcenter.ru/proektyi-czentra/rejting-regionov-po-gchp.html</w:t>
        </w:r>
      </w:hyperlink>
      <w:r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C25601" w:rsidRDefault="008C1D0F">
      <w:pPr>
        <w:pStyle w:val="aff"/>
        <w:numPr>
          <w:ilvl w:val="0"/>
          <w:numId w:val="11"/>
        </w:numPr>
        <w:spacing w:line="36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Электронно-библиотечная система Znanium </w:t>
      </w:r>
      <w:hyperlink r:id="rId20">
        <w:r>
          <w:rPr>
            <w:rFonts w:ascii="Times New Roman" w:hAnsi="Times New Roman" w:cs="Times New Roman"/>
          </w:rPr>
          <w:t>http://www.znanium.com</w:t>
        </w:r>
      </w:hyperlink>
    </w:p>
    <w:p w:rsidR="00C25601" w:rsidRDefault="008C1D0F">
      <w:pPr>
        <w:pStyle w:val="aff"/>
        <w:numPr>
          <w:ilvl w:val="0"/>
          <w:numId w:val="11"/>
        </w:numPr>
        <w:spacing w:line="36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Деловая онлайн-библиотека Alpina Digital http://lib.alpinadigital.ru/</w:t>
      </w:r>
    </w:p>
    <w:p w:rsidR="00C25601" w:rsidRDefault="008C1D0F">
      <w:pPr>
        <w:tabs>
          <w:tab w:val="left" w:pos="3555"/>
        </w:tabs>
        <w:spacing w:line="360" w:lineRule="auto"/>
        <w:jc w:val="both"/>
        <w:outlineLvl w:val="0"/>
        <w:rPr>
          <w:rFonts w:ascii="Times New Roman" w:hAnsi="Times New Roman" w:cs="Times New Roman"/>
          <w:szCs w:val="28"/>
        </w:rPr>
      </w:pPr>
      <w:bookmarkStart w:id="9" w:name="__RefHeading___Toc187509891"/>
      <w:bookmarkEnd w:id="9"/>
      <w:r>
        <w:rPr>
          <w:rFonts w:ascii="Times New Roman" w:hAnsi="Times New Roman" w:cs="Times New Roman"/>
          <w:b/>
          <w:kern w:val="2"/>
          <w:szCs w:val="28"/>
        </w:rPr>
        <w:t>10. Методические указания для обучающихся по освоению дисциплины</w:t>
      </w:r>
    </w:p>
    <w:p w:rsidR="00C25601" w:rsidRDefault="008C1D0F">
      <w:pPr>
        <w:spacing w:line="360" w:lineRule="auto"/>
        <w:ind w:right="-6" w:firstLine="5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8"/>
        </w:rPr>
        <w:tab/>
      </w:r>
      <w:r>
        <w:rPr>
          <w:rFonts w:ascii="Times New Roman" w:hAnsi="Times New Roman" w:cs="Times New Roman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C25601" w:rsidRDefault="008C1D0F">
      <w:pPr>
        <w:shd w:val="clear" w:color="auto" w:fill="FFFFFF"/>
        <w:spacing w:before="120" w:after="120" w:line="360" w:lineRule="auto"/>
        <w:ind w:right="-6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Методические рекомендации по изучению дисциплины</w:t>
      </w:r>
    </w:p>
    <w:p w:rsidR="00C25601" w:rsidRDefault="008C1D0F">
      <w:pPr>
        <w:spacing w:line="360" w:lineRule="auto"/>
        <w:ind w:right="-5" w:firstLine="5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lastRenderedPageBreak/>
        <w:t>Изучение дисциплины «Оценка эффективности проектов государственно-частного партнерства»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списком литературы и методическими разработками по данной дисциплине, имеющимися на образовательном портале и сайте кафедры.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Аудиторная работа предполагает проведение лекций и семинарских занятий. Лекции предусматривают изложение материала о теоретических основах дисциплины, особенностях реализации государственной политики и практике организации проектов, направленных на комплексное развитие территории. На семинарских занятиях преподаватель организует дискуссию по теме, проверяет выполнение самостоятельных заданий и качество усвоения знаний. </w:t>
      </w:r>
    </w:p>
    <w:p w:rsidR="00C25601" w:rsidRDefault="008C1D0F">
      <w:pPr>
        <w:spacing w:line="360" w:lineRule="auto"/>
        <w:ind w:firstLine="709"/>
        <w:jc w:val="center"/>
        <w:outlineLvl w:val="2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Методические рекомендации по подготовке к дискуссии и </w:t>
      </w:r>
    </w:p>
    <w:p w:rsidR="00C25601" w:rsidRDefault="008C1D0F">
      <w:pPr>
        <w:spacing w:line="360" w:lineRule="auto"/>
        <w:ind w:firstLine="709"/>
        <w:jc w:val="center"/>
        <w:outlineLvl w:val="2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деловой игре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Подготовка к дискуссии и деловой игре предполагает изучение рекомендованной литературы, нормативных правовых актов, открытых источников информации и статистических данных по теме. В целях подготовки к дискуссии или деловой игре целесообразно сделать план, выписки, резюме по изученной литературе и другим источникам данных.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Дискуссия проводится в основном в устной форме и представляет собой обсуждение научно-практических проблем и способов её решения. Перед началом дискуссии определяется тема дискуссии, её цели, задачи. Допускается ограничение времени и тематики на высказывание одного участника дискуссии.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Деловая игра – </w:t>
      </w:r>
      <w:r>
        <w:rPr>
          <w:rFonts w:ascii="Times New Roman" w:hAnsi="Times New Roman" w:cs="Times New Roman"/>
          <w:iCs/>
          <w:color w:val="000000"/>
          <w:szCs w:val="28"/>
        </w:rPr>
        <w:t xml:space="preserve">это организованное практическое занятие, моделирующее элементы будущей профессиональной деятельности обучающегося и </w:t>
      </w:r>
      <w:r>
        <w:rPr>
          <w:rFonts w:ascii="Times New Roman" w:hAnsi="Times New Roman" w:cs="Times New Roman"/>
          <w:iCs/>
          <w:color w:val="000000"/>
          <w:szCs w:val="28"/>
        </w:rPr>
        <w:lastRenderedPageBreak/>
        <w:t>направленное на формирование и развитие его знаний, умений и навыков по специальности.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В учебном процессе применяются имитационный тип деловых игра На занятиях имитируется деятельность какой-либо организации, предприятия или его подразделения, процесса или решение профессиональной задачи. Имитируются события, конкретная деятельность людей и обстановка, условия, в которых происходит событие или осуществляется деятельность. 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Деловая игра проводится в строгом соответствии с установленными правилами. Преподаватель, будучи руководителем, при необходимости, направляет ход игры на всех ее этапах. Более того, он может в ходе игры вносить уточнения в виде дополнительных вопросов, подлежащих разрешению ее участниками.</w:t>
      </w:r>
    </w:p>
    <w:p w:rsidR="00C25601" w:rsidRDefault="008C1D0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Обязательным элементом деловой игры является ее анализ. Организацию разбора игры осуществляет преподаватель.</w:t>
      </w:r>
    </w:p>
    <w:p w:rsidR="00C25601" w:rsidRDefault="008C1D0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Методические указания по подготовке к тесту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Цель выполнения теста – формирование учебно-исследовательских навыков, закрепление умений самостоятельно работать с различными источниками информации, текущий контроль успеваемости.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Вопросы в тестах соответствуют контрольным вопросам к экзамену. Примерное тестовое задание представлено в разделе 7. Тесты содержат три и более варианта ответа по каждому вопросу. </w:t>
      </w:r>
    </w:p>
    <w:p w:rsidR="00C25601" w:rsidRDefault="008C1D0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Требования к выполнению теста:</w:t>
      </w:r>
    </w:p>
    <w:p w:rsidR="00C25601" w:rsidRDefault="008C1D0F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чёткость и последовательность изложения материала;</w:t>
      </w:r>
    </w:p>
    <w:p w:rsidR="00C25601" w:rsidRDefault="008C1D0F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C25601" w:rsidRDefault="008C1D0F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самостоятельность выполнения.</w:t>
      </w:r>
    </w:p>
    <w:p w:rsidR="00C25601" w:rsidRDefault="008C1D0F">
      <w:pPr>
        <w:spacing w:line="360" w:lineRule="auto"/>
        <w:jc w:val="center"/>
      </w:pPr>
      <w:r>
        <w:rPr>
          <w:rFonts w:ascii="Times New Roman" w:hAnsi="Times New Roman" w:cs="Times New Roman"/>
          <w:b/>
          <w:color w:val="000000"/>
          <w:szCs w:val="28"/>
        </w:rPr>
        <w:t xml:space="preserve">Методические рекомендации по подготовке </w:t>
      </w:r>
    </w:p>
    <w:p w:rsidR="00C25601" w:rsidRDefault="008C1D0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к контрольной работе</w:t>
      </w:r>
    </w:p>
    <w:p w:rsidR="00C25601" w:rsidRDefault="008C1D0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Примерные задания контрольной работы размещены в разделе 6.2.</w:t>
      </w:r>
    </w:p>
    <w:p w:rsidR="00C25601" w:rsidRDefault="008C1D0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lastRenderedPageBreak/>
        <w:t>Цель контрольной работы – формирование учебно-исследовательских навыков, закрепление умений самостоятельно работать с различными источниками информации, текущий контроль успеваемости.</w:t>
      </w:r>
    </w:p>
    <w:p w:rsidR="00C25601" w:rsidRDefault="008C1D0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Вопросы в контрольной работы соответствуют вопросам к экзамену.</w:t>
      </w:r>
    </w:p>
    <w:p w:rsidR="00C25601" w:rsidRDefault="008C1D0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Контрольная работа состоит из 2 вопросов и 3 тестовых заданий. </w:t>
      </w:r>
    </w:p>
    <w:p w:rsidR="00C25601" w:rsidRDefault="008C1D0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Требования к выполнению контрольной работы:</w:t>
      </w:r>
    </w:p>
    <w:p w:rsidR="00C25601" w:rsidRDefault="008C1D0F">
      <w:pPr>
        <w:pStyle w:val="aff"/>
        <w:numPr>
          <w:ilvl w:val="0"/>
          <w:numId w:val="2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чёткость и последовательность изложения материала;</w:t>
      </w:r>
    </w:p>
    <w:p w:rsidR="00C25601" w:rsidRDefault="008C1D0F">
      <w:pPr>
        <w:pStyle w:val="aff"/>
        <w:numPr>
          <w:ilvl w:val="0"/>
          <w:numId w:val="2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C25601" w:rsidRDefault="008C1D0F">
      <w:pPr>
        <w:pStyle w:val="aff"/>
        <w:numPr>
          <w:ilvl w:val="0"/>
          <w:numId w:val="24"/>
        </w:numPr>
        <w:tabs>
          <w:tab w:val="left" w:pos="993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самостоятельность выполнения.</w:t>
      </w:r>
    </w:p>
    <w:p w:rsidR="00C25601" w:rsidRDefault="00C25601">
      <w:pPr>
        <w:rPr>
          <w:rFonts w:ascii="Times New Roman" w:hAnsi="Times New Roman" w:cs="Times New Roman"/>
        </w:rPr>
      </w:pPr>
    </w:p>
    <w:p w:rsidR="00C25601" w:rsidRDefault="008C1D0F">
      <w:pPr>
        <w:spacing w:line="276" w:lineRule="auto"/>
        <w:jc w:val="both"/>
        <w:outlineLvl w:val="0"/>
        <w:rPr>
          <w:rFonts w:ascii="Times New Roman" w:hAnsi="Times New Roman" w:cs="Times New Roman"/>
          <w:szCs w:val="28"/>
        </w:rPr>
      </w:pPr>
      <w:bookmarkStart w:id="10" w:name="__RefHeading___Toc90401446"/>
      <w:bookmarkEnd w:id="10"/>
      <w:r>
        <w:rPr>
          <w:rFonts w:ascii="Times New Roman" w:eastAsia="Calibri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25601" w:rsidRDefault="00C25601">
      <w:pPr>
        <w:spacing w:line="276" w:lineRule="auto"/>
        <w:rPr>
          <w:rFonts w:ascii="Times New Roman" w:hAnsi="Times New Roman" w:cs="Times New Roman"/>
          <w:szCs w:val="28"/>
        </w:rPr>
      </w:pPr>
    </w:p>
    <w:p w:rsidR="00C25601" w:rsidRDefault="008C1D0F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11.1. Комплект лицензионного программного обеспечения: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1B1B1D"/>
          <w:szCs w:val="28"/>
          <w:lang w:val="en-US"/>
        </w:rPr>
        <w:t>1. AstraLinux, LibreOffice;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1B1B1D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color w:val="1B1B1D"/>
          <w:szCs w:val="28"/>
        </w:rPr>
        <w:t>Антивирус</w:t>
      </w:r>
      <w:r>
        <w:rPr>
          <w:rFonts w:ascii="Times New Roman" w:hAnsi="Times New Roman" w:cs="Times New Roman"/>
          <w:color w:val="1B1B1D"/>
          <w:szCs w:val="28"/>
          <w:lang w:val="en-US"/>
        </w:rPr>
        <w:t> ESET Endpoint Security.</w:t>
      </w:r>
    </w:p>
    <w:p w:rsidR="00C25601" w:rsidRDefault="008C1D0F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color w:val="1B1B1D"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1. Информационно-правовая система «Консультант Плюс»;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B1B1D"/>
          <w:szCs w:val="28"/>
        </w:rPr>
        <w:t>2. Информационно-правовая система «Гарант»;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color w:val="1B1B1D"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3. Информационно-образовательный портал Финансового университета;</w:t>
      </w:r>
    </w:p>
    <w:p w:rsidR="00C25601" w:rsidRDefault="008C1D0F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11.3. Сертифицированные программные и аппаратные средства защиты информации. </w:t>
      </w:r>
    </w:p>
    <w:p w:rsidR="00C25601" w:rsidRDefault="008C1D0F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- Не предусмотрены.</w:t>
      </w:r>
    </w:p>
    <w:p w:rsidR="00C25601" w:rsidRDefault="008C1D0F">
      <w:pPr>
        <w:pStyle w:val="4"/>
        <w:spacing w:line="276" w:lineRule="auto"/>
        <w:jc w:val="both"/>
        <w:rPr>
          <w:color w:val="FF0000"/>
        </w:rPr>
      </w:pPr>
      <w:r>
        <w:rPr>
          <w:rFonts w:eastAsia="Calibri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C25601" w:rsidRDefault="008C1D0F">
      <w:pPr>
        <w:spacing w:before="120" w:after="120" w:line="360" w:lineRule="auto"/>
        <w:ind w:right="-428" w:firstLine="709"/>
        <w:contextualSpacing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- Наличие аудиторного фонда Финансового университета;</w:t>
      </w:r>
    </w:p>
    <w:p w:rsidR="00C25601" w:rsidRDefault="008C1D0F">
      <w:pPr>
        <w:tabs>
          <w:tab w:val="left" w:pos="993"/>
        </w:tabs>
        <w:spacing w:before="120" w:after="120" w:line="360" w:lineRule="auto"/>
        <w:ind w:right="-428" w:firstLine="709"/>
        <w:contextualSpacing/>
        <w:outlineLvl w:val="0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- Наличие мультимедийной техники в аудиториях</w:t>
      </w:r>
      <w:bookmarkStart w:id="11" w:name="__RefHeading___Toc18750989"/>
      <w:bookmarkEnd w:id="11"/>
      <w:r>
        <w:rPr>
          <w:rFonts w:ascii="Times New Roman" w:eastAsia="Calibri" w:hAnsi="Times New Roman" w:cs="Times New Roman"/>
          <w:szCs w:val="28"/>
        </w:rPr>
        <w:t>.</w:t>
      </w:r>
    </w:p>
    <w:p w:rsidR="00C25601" w:rsidRDefault="00C25601">
      <w:pPr>
        <w:tabs>
          <w:tab w:val="left" w:pos="993"/>
        </w:tabs>
        <w:spacing w:before="120" w:after="120" w:line="360" w:lineRule="auto"/>
        <w:ind w:right="-428" w:firstLine="709"/>
        <w:contextualSpacing/>
        <w:outlineLvl w:val="0"/>
        <w:rPr>
          <w:rFonts w:ascii="Times New Roman" w:eastAsia="Calibri" w:hAnsi="Times New Roman" w:cs="Times New Roman"/>
          <w:szCs w:val="28"/>
        </w:rPr>
      </w:pPr>
    </w:p>
    <w:p w:rsidR="00C25601" w:rsidRDefault="00C25601">
      <w:pPr>
        <w:sectPr w:rsidR="00C25601">
          <w:type w:val="continuous"/>
          <w:pgSz w:w="11906" w:h="16838"/>
          <w:pgMar w:top="1418" w:right="991" w:bottom="1418" w:left="1350" w:header="0" w:footer="709" w:gutter="0"/>
          <w:cols w:space="720"/>
          <w:formProt w:val="0"/>
          <w:docGrid w:linePitch="381"/>
        </w:sectPr>
      </w:pPr>
    </w:p>
    <w:p w:rsidR="00C25601" w:rsidRDefault="00C25601">
      <w:pPr>
        <w:tabs>
          <w:tab w:val="left" w:pos="993"/>
        </w:tabs>
        <w:spacing w:before="120" w:after="240" w:line="360" w:lineRule="auto"/>
        <w:ind w:right="-428" w:firstLine="709"/>
        <w:contextualSpacing/>
        <w:jc w:val="center"/>
        <w:outlineLvl w:val="0"/>
        <w:rPr>
          <w:rFonts w:ascii="Times New Roman" w:hAnsi="Times New Roman" w:cs="Times New Roman"/>
          <w:szCs w:val="28"/>
        </w:rPr>
      </w:pPr>
      <w:bookmarkStart w:id="12" w:name="__RefHeading___Toc90401436"/>
      <w:bookmarkEnd w:id="12"/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tabs>
          <w:tab w:val="left" w:pos="993"/>
        </w:tabs>
        <w:spacing w:before="120" w:after="240" w:line="360" w:lineRule="auto"/>
        <w:ind w:firstLine="709"/>
        <w:jc w:val="center"/>
        <w:outlineLvl w:val="0"/>
        <w:rPr>
          <w:rFonts w:ascii="Times New Roman" w:hAnsi="Times New Roman" w:cs="Times New Roman"/>
          <w:szCs w:val="28"/>
        </w:rPr>
      </w:pPr>
    </w:p>
    <w:p w:rsidR="00C25601" w:rsidRDefault="00C25601">
      <w:pPr>
        <w:pStyle w:val="1"/>
        <w:numPr>
          <w:ilvl w:val="0"/>
          <w:numId w:val="0"/>
        </w:numPr>
        <w:tabs>
          <w:tab w:val="left" w:pos="993"/>
        </w:tabs>
        <w:spacing w:before="12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_RefHeading___Toc187509892"/>
      <w:bookmarkEnd w:id="13"/>
    </w:p>
    <w:p w:rsidR="00C25601" w:rsidRDefault="00C25601">
      <w:pPr>
        <w:sectPr w:rsidR="00C25601">
          <w:type w:val="continuous"/>
          <w:pgSz w:w="11906" w:h="16838"/>
          <w:pgMar w:top="1418" w:right="991" w:bottom="1418" w:left="1350" w:header="0" w:footer="709" w:gutter="0"/>
          <w:cols w:num="2" w:space="708"/>
          <w:formProt w:val="0"/>
          <w:docGrid w:linePitch="381"/>
        </w:sectPr>
      </w:pPr>
    </w:p>
    <w:p w:rsidR="00C25601" w:rsidRDefault="00C25601">
      <w:pPr>
        <w:rPr>
          <w:rFonts w:ascii="Times New Roman" w:hAnsi="Times New Roman" w:cs="Times New Roman"/>
        </w:rPr>
      </w:pPr>
    </w:p>
    <w:sectPr w:rsidR="00C25601">
      <w:type w:val="continuous"/>
      <w:pgSz w:w="11906" w:h="16838"/>
      <w:pgMar w:top="1418" w:right="991" w:bottom="1418" w:left="1350" w:header="0" w:footer="709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06E" w:rsidRDefault="00F7206E">
      <w:r>
        <w:separator/>
      </w:r>
    </w:p>
  </w:endnote>
  <w:endnote w:type="continuationSeparator" w:id="0">
    <w:p w:rsidR="00F7206E" w:rsidRDefault="00F7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Letter Gothic">
    <w:altName w:val="Courier New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0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??"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601" w:rsidRDefault="00C25601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264299"/>
      <w:docPartObj>
        <w:docPartGallery w:val="Page Numbers (Bottom of Page)"/>
        <w:docPartUnique/>
      </w:docPartObj>
    </w:sdtPr>
    <w:sdtEndPr/>
    <w:sdtContent>
      <w:p w:rsidR="00C25601" w:rsidRDefault="008C1D0F">
        <w:pPr>
          <w:pStyle w:val="af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A2A37">
          <w:rPr>
            <w:noProof/>
          </w:rPr>
          <w:t>1</w:t>
        </w:r>
        <w:r>
          <w:fldChar w:fldCharType="end"/>
        </w:r>
      </w:p>
    </w:sdtContent>
  </w:sdt>
  <w:p w:rsidR="00C25601" w:rsidRDefault="00C25601">
    <w:pPr>
      <w:pStyle w:val="af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601" w:rsidRDefault="00C25601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06E" w:rsidRDefault="00F7206E">
      <w:r>
        <w:separator/>
      </w:r>
    </w:p>
  </w:footnote>
  <w:footnote w:type="continuationSeparator" w:id="0">
    <w:p w:rsidR="00F7206E" w:rsidRDefault="00F72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601" w:rsidRDefault="00C25601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601" w:rsidRDefault="00C25601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601" w:rsidRDefault="00C2560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2A1D"/>
    <w:multiLevelType w:val="multilevel"/>
    <w:tmpl w:val="CAAA9338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575E9E"/>
    <w:multiLevelType w:val="multilevel"/>
    <w:tmpl w:val="4C04C1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E22F89"/>
    <w:multiLevelType w:val="multilevel"/>
    <w:tmpl w:val="A3102D0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C970BA"/>
    <w:multiLevelType w:val="multilevel"/>
    <w:tmpl w:val="9ED61AE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4CB7617"/>
    <w:multiLevelType w:val="multilevel"/>
    <w:tmpl w:val="35600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612951"/>
    <w:multiLevelType w:val="multilevel"/>
    <w:tmpl w:val="608AEE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C8062F"/>
    <w:multiLevelType w:val="multilevel"/>
    <w:tmpl w:val="EAFC8B4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25601F9"/>
    <w:multiLevelType w:val="multilevel"/>
    <w:tmpl w:val="CC346C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53C377B"/>
    <w:multiLevelType w:val="multilevel"/>
    <w:tmpl w:val="342A91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52C4E"/>
    <w:multiLevelType w:val="multilevel"/>
    <w:tmpl w:val="AE103D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FE949DC"/>
    <w:multiLevelType w:val="multilevel"/>
    <w:tmpl w:val="76E0D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75" w:hanging="1095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1" w15:restartNumberingAfterBreak="0">
    <w:nsid w:val="31350A14"/>
    <w:multiLevelType w:val="multilevel"/>
    <w:tmpl w:val="A04C286A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3A9B0ADF"/>
    <w:multiLevelType w:val="multilevel"/>
    <w:tmpl w:val="8DA6928A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48301A10"/>
    <w:multiLevelType w:val="multilevel"/>
    <w:tmpl w:val="F866FE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288626C"/>
    <w:multiLevelType w:val="multilevel"/>
    <w:tmpl w:val="07DE2F0E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3B462E1"/>
    <w:multiLevelType w:val="multilevel"/>
    <w:tmpl w:val="1DCA257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6CF1197"/>
    <w:multiLevelType w:val="multilevel"/>
    <w:tmpl w:val="2430A22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9293A44"/>
    <w:multiLevelType w:val="multilevel"/>
    <w:tmpl w:val="E3C24984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5E785E16"/>
    <w:multiLevelType w:val="multilevel"/>
    <w:tmpl w:val="8F04FB0E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65413987"/>
    <w:multiLevelType w:val="multilevel"/>
    <w:tmpl w:val="4328B08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6A116735"/>
    <w:multiLevelType w:val="multilevel"/>
    <w:tmpl w:val="3718028E"/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77C45B7B"/>
    <w:multiLevelType w:val="multilevel"/>
    <w:tmpl w:val="7CB0CE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D13E60"/>
    <w:multiLevelType w:val="multilevel"/>
    <w:tmpl w:val="7084E5B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E236AB9"/>
    <w:multiLevelType w:val="multilevel"/>
    <w:tmpl w:val="341EE100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EC51B3A"/>
    <w:multiLevelType w:val="multilevel"/>
    <w:tmpl w:val="8EBE8B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12"/>
  </w:num>
  <w:num w:numId="5">
    <w:abstractNumId w:val="11"/>
  </w:num>
  <w:num w:numId="6">
    <w:abstractNumId w:val="18"/>
  </w:num>
  <w:num w:numId="7">
    <w:abstractNumId w:val="19"/>
  </w:num>
  <w:num w:numId="8">
    <w:abstractNumId w:val="15"/>
  </w:num>
  <w:num w:numId="9">
    <w:abstractNumId w:val="23"/>
  </w:num>
  <w:num w:numId="10">
    <w:abstractNumId w:val="6"/>
  </w:num>
  <w:num w:numId="11">
    <w:abstractNumId w:val="3"/>
  </w:num>
  <w:num w:numId="12">
    <w:abstractNumId w:val="5"/>
  </w:num>
  <w:num w:numId="13">
    <w:abstractNumId w:val="24"/>
  </w:num>
  <w:num w:numId="14">
    <w:abstractNumId w:val="0"/>
  </w:num>
  <w:num w:numId="15">
    <w:abstractNumId w:val="8"/>
  </w:num>
  <w:num w:numId="16">
    <w:abstractNumId w:val="9"/>
  </w:num>
  <w:num w:numId="17">
    <w:abstractNumId w:val="10"/>
  </w:num>
  <w:num w:numId="18">
    <w:abstractNumId w:val="16"/>
  </w:num>
  <w:num w:numId="19">
    <w:abstractNumId w:val="1"/>
  </w:num>
  <w:num w:numId="20">
    <w:abstractNumId w:val="13"/>
  </w:num>
  <w:num w:numId="21">
    <w:abstractNumId w:val="4"/>
  </w:num>
  <w:num w:numId="22">
    <w:abstractNumId w:val="2"/>
  </w:num>
  <w:num w:numId="23">
    <w:abstractNumId w:val="22"/>
  </w:num>
  <w:num w:numId="24">
    <w:abstractNumId w:val="2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601"/>
    <w:rsid w:val="006C13AE"/>
    <w:rsid w:val="008C1D0F"/>
    <w:rsid w:val="009A2A37"/>
    <w:rsid w:val="00C25601"/>
    <w:rsid w:val="00F7206E"/>
    <w:rsid w:val="00FC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8EE4"/>
  <w15:docId w15:val="{CE690D6E-93DD-426F-9E35-8E7EDC17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D46"/>
    <w:rPr>
      <w:rFonts w:ascii="Letter Gothic" w:eastAsia="Times New Roman" w:hAnsi="Letter Gothic" w:cs="Arial Unicode MS"/>
      <w:sz w:val="28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next w:val="a"/>
    <w:uiPriority w:val="9"/>
    <w:unhideWhenUsed/>
    <w:qFormat/>
    <w:pPr>
      <w:keepNext/>
      <w:numPr>
        <w:ilvl w:val="1"/>
        <w:numId w:val="7"/>
      </w:numPr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 w:bidi="ar-SA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7"/>
      </w:numPr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  <w:sz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  <w:rPr>
      <w:rFonts w:ascii="Wingdings" w:hAnsi="Wingdings" w:cs="Wingdings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b/>
      <w:i w:val="0"/>
      <w:sz w:val="28"/>
      <w:szCs w:val="28"/>
      <w:u w:val="none"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Times New Roman" w:hAnsi="Times New Roman" w:cs="Times New Roman"/>
      <w:sz w:val="28"/>
    </w:rPr>
  </w:style>
  <w:style w:type="character" w:customStyle="1" w:styleId="WW8Num18z1">
    <w:name w:val="WW8Num18z1"/>
    <w:qFormat/>
  </w:style>
  <w:style w:type="character" w:customStyle="1" w:styleId="WW8Num19z0">
    <w:name w:val="WW8Num19z0"/>
    <w:qFormat/>
    <w:rPr>
      <w:rFonts w:cs="Times New Roman"/>
      <w:color w:val="000000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1z1">
    <w:name w:val="WW8Num31z1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4z0">
    <w:name w:val="WW8Num34z0"/>
    <w:qFormat/>
    <w:rPr>
      <w:rFonts w:cs="Arial Unicode M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7z0">
    <w:name w:val="WW8Num47z0"/>
    <w:qFormat/>
    <w:rPr>
      <w:rFonts w:ascii="Times New Roman" w:hAnsi="Times New Roman" w:cs="Times New Roman"/>
      <w:sz w:val="32"/>
    </w:rPr>
  </w:style>
  <w:style w:type="character" w:customStyle="1" w:styleId="WW8Num48z0">
    <w:name w:val="WW8Num48z0"/>
    <w:qFormat/>
    <w:rPr>
      <w:rFonts w:ascii="Symbol" w:hAnsi="Symbol" w:cs="Symbol"/>
    </w:rPr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52z0">
    <w:name w:val="WW8Num52z0"/>
    <w:qFormat/>
    <w:rPr>
      <w:b w:val="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1">
    <w:name w:val="WW8Num21z1"/>
    <w:qFormat/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1">
    <w:name w:val="WW8Num23z1"/>
    <w:qFormat/>
    <w:rPr>
      <w:rFonts w:cs="Times New Roma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5z1">
    <w:name w:val="WW8Num35z1"/>
    <w:qFormat/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9z1">
    <w:name w:val="WW8Num49z1"/>
    <w:qFormat/>
    <w:rPr>
      <w:rFonts w:ascii="Courier New" w:hAnsi="Courier New" w:cs="Courier New"/>
    </w:rPr>
  </w:style>
  <w:style w:type="character" w:customStyle="1" w:styleId="WW8Num49z2">
    <w:name w:val="WW8Num49z2"/>
    <w:qFormat/>
    <w:rPr>
      <w:rFonts w:ascii="Wingdings" w:hAnsi="Wingdings" w:cs="Wingdings"/>
    </w:rPr>
  </w:style>
  <w:style w:type="character" w:customStyle="1" w:styleId="WW8Num50z1">
    <w:name w:val="WW8Num50z1"/>
    <w:qFormat/>
  </w:style>
  <w:style w:type="character" w:customStyle="1" w:styleId="WW8Num51z1">
    <w:name w:val="WW8Num51z1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  <w:rPr>
      <w:rFonts w:ascii="Times New Roman" w:eastAsia="Times New Roman" w:hAnsi="Times New Roman" w:cs="Times New Roman"/>
      <w:sz w:val="32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3z3">
    <w:name w:val="WW8Num53z3"/>
    <w:qFormat/>
    <w:rPr>
      <w:rFonts w:ascii="Symbol" w:hAnsi="Symbol" w:cs="Symbol"/>
    </w:rPr>
  </w:style>
  <w:style w:type="character" w:customStyle="1" w:styleId="WW8Num54z0">
    <w:name w:val="WW8Num54z0"/>
    <w:qFormat/>
    <w:rPr>
      <w:rFonts w:ascii="Symbol" w:hAnsi="Symbol" w:cs="Symbol"/>
    </w:rPr>
  </w:style>
  <w:style w:type="character" w:customStyle="1" w:styleId="WW8Num54z1">
    <w:name w:val="WW8Num54z1"/>
    <w:qFormat/>
    <w:rPr>
      <w:rFonts w:ascii="Courier New" w:hAnsi="Courier New" w:cs="Courier New"/>
    </w:rPr>
  </w:style>
  <w:style w:type="character" w:customStyle="1" w:styleId="WW8Num54z2">
    <w:name w:val="WW8Num54z2"/>
    <w:qFormat/>
    <w:rPr>
      <w:rFonts w:ascii="Wingdings" w:hAnsi="Wingdings" w:cs="Wingdings"/>
    </w:rPr>
  </w:style>
  <w:style w:type="character" w:customStyle="1" w:styleId="WW8Num55z0">
    <w:name w:val="WW8Num55z0"/>
    <w:qFormat/>
  </w:style>
  <w:style w:type="character" w:customStyle="1" w:styleId="WW8Num56z0">
    <w:name w:val="WW8Num56z0"/>
    <w:qFormat/>
    <w:rPr>
      <w:rFonts w:ascii="Symbol" w:hAnsi="Symbol" w:cs="Symbol"/>
    </w:rPr>
  </w:style>
  <w:style w:type="character" w:customStyle="1" w:styleId="WW8Num56z1">
    <w:name w:val="WW8Num56z1"/>
    <w:qFormat/>
    <w:rPr>
      <w:rFonts w:ascii="Courier New" w:hAnsi="Courier New" w:cs="Courier New"/>
    </w:rPr>
  </w:style>
  <w:style w:type="character" w:customStyle="1" w:styleId="WW8Num56z2">
    <w:name w:val="WW8Num56z2"/>
    <w:qFormat/>
    <w:rPr>
      <w:rFonts w:ascii="Wingdings" w:hAnsi="Wingdings" w:cs="Wingdings"/>
    </w:rPr>
  </w:style>
  <w:style w:type="character" w:customStyle="1" w:styleId="21">
    <w:name w:val="Заголовок 2 Знак1"/>
    <w:qFormat/>
    <w:rPr>
      <w:i/>
      <w:sz w:val="28"/>
      <w:u w:val="single"/>
      <w:lang w:val="ru-RU" w:eastAsia="ru-RU" w:bidi="ar-SA"/>
    </w:rPr>
  </w:style>
  <w:style w:type="character" w:customStyle="1" w:styleId="-">
    <w:name w:val="Интернет-ссылка"/>
    <w:basedOn w:val="a0"/>
    <w:uiPriority w:val="99"/>
    <w:unhideWhenUsed/>
    <w:rsid w:val="00CD1F1C"/>
    <w:rPr>
      <w:color w:val="0563C1" w:themeColor="hyperlink"/>
      <w:u w:val="single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20">
    <w:name w:val="Заголовок 2 Знак Знак Знак"/>
    <w:qFormat/>
    <w:rPr>
      <w:bCs/>
      <w:sz w:val="28"/>
      <w:szCs w:val="24"/>
      <w:lang w:val="ru-RU" w:bidi="ar-SA"/>
    </w:rPr>
  </w:style>
  <w:style w:type="character" w:styleId="a4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5">
    <w:name w:val="Основной текст Знак"/>
    <w:qFormat/>
    <w:rPr>
      <w:rFonts w:ascii="Letter Gothic" w:hAnsi="Letter Gothic" w:cs="Arial Unicode MS"/>
      <w:sz w:val="28"/>
      <w:szCs w:val="24"/>
    </w:rPr>
  </w:style>
  <w:style w:type="character" w:customStyle="1" w:styleId="22">
    <w:name w:val="Основной текст с отступом 2 Знак"/>
    <w:qFormat/>
    <w:rPr>
      <w:rFonts w:cs="Palatino Linotype"/>
      <w:sz w:val="28"/>
      <w:szCs w:val="24"/>
    </w:rPr>
  </w:style>
  <w:style w:type="character" w:customStyle="1" w:styleId="a6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a7">
    <w:name w:val="Выделение жирным"/>
    <w:qFormat/>
    <w:rPr>
      <w:b/>
      <w:bCs/>
    </w:rPr>
  </w:style>
  <w:style w:type="character" w:customStyle="1" w:styleId="blackbold1">
    <w:name w:val="blackbold1"/>
    <w:qFormat/>
    <w:rPr>
      <w:rFonts w:ascii="Verdana" w:hAnsi="Verdana" w:cs="Verdana"/>
      <w:b/>
      <w:bCs/>
      <w:i w:val="0"/>
      <w:iCs w:val="0"/>
      <w:color w:val="000000"/>
      <w:sz w:val="16"/>
      <w:szCs w:val="16"/>
    </w:rPr>
  </w:style>
  <w:style w:type="character" w:customStyle="1" w:styleId="a8">
    <w:name w:val="Текст сноски Знак"/>
    <w:qFormat/>
    <w:rPr>
      <w:rFonts w:ascii="Calibri" w:hAnsi="Calibri" w:cs="Calibri"/>
      <w:lang w:val="ru-RU" w:bidi="ar-SA"/>
    </w:rPr>
  </w:style>
  <w:style w:type="character" w:customStyle="1" w:styleId="A30">
    <w:name w:val="A3"/>
    <w:qFormat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A20">
    <w:name w:val="A2"/>
    <w:qFormat/>
    <w:rPr>
      <w:rFonts w:cs="Franklin Gothic Medium Cond"/>
      <w:color w:val="000000"/>
      <w:sz w:val="28"/>
      <w:szCs w:val="2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aa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10">
    <w:name w:val="Неразрешенное упоминание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FontStyle44">
    <w:name w:val="Font Style44"/>
    <w:qFormat/>
    <w:rPr>
      <w:rFonts w:ascii="Times New Roman" w:hAnsi="Times New Roman" w:cs="Times New Roman"/>
      <w:color w:val="000000"/>
      <w:sz w:val="22"/>
    </w:rPr>
  </w:style>
  <w:style w:type="character" w:customStyle="1" w:styleId="ab">
    <w:name w:val="Основной текст с отступом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ac">
    <w:name w:val="Тема примечания Знак"/>
    <w:qFormat/>
    <w:rPr>
      <w:rFonts w:ascii="Letter Gothic" w:hAnsi="Letter Gothic" w:cs="Arial Unicode MS"/>
      <w:b/>
      <w:bCs/>
      <w:color w:val="000000"/>
      <w:sz w:val="24"/>
      <w:szCs w:val="24"/>
    </w:rPr>
  </w:style>
  <w:style w:type="character" w:customStyle="1" w:styleId="ad">
    <w:name w:val="Текст примечания Знак"/>
    <w:qFormat/>
    <w:rPr>
      <w:rFonts w:ascii="Letter Gothic" w:hAnsi="Letter Gothic" w:cs="Arial Unicode MS"/>
      <w:color w:val="000000"/>
      <w:sz w:val="24"/>
      <w:szCs w:val="24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31">
    <w:name w:val="Основной текст 3 Знак"/>
    <w:qFormat/>
    <w:rPr>
      <w:rFonts w:ascii="Letter Gothic" w:hAnsi="Letter Gothic" w:cs="Arial Unicode MS"/>
      <w:color w:val="000000"/>
      <w:sz w:val="16"/>
      <w:szCs w:val="16"/>
    </w:rPr>
  </w:style>
  <w:style w:type="character" w:customStyle="1" w:styleId="23">
    <w:name w:val="Основной текст 2 Знак"/>
    <w:qFormat/>
    <w:rPr>
      <w:rFonts w:ascii="Times New Roman" w:hAnsi="Times New Roman" w:cs="Palatino Linotype"/>
      <w:color w:val="000000"/>
      <w:sz w:val="28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color w:val="000000"/>
      <w:sz w:val="28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24">
    <w:name w:val="Заголовок 2 Знак"/>
    <w:qFormat/>
    <w:rPr>
      <w:rFonts w:ascii="Cambria" w:eastAsia="0" w:hAnsi="Cambria" w:cs="0"/>
      <w:b/>
      <w:bCs/>
      <w:color w:val="4F81BD"/>
      <w:sz w:val="26"/>
      <w:szCs w:val="26"/>
    </w:rPr>
  </w:style>
  <w:style w:type="character" w:customStyle="1" w:styleId="af">
    <w:name w:val="Текст выноски Знак"/>
    <w:qFormat/>
    <w:rPr>
      <w:rFonts w:ascii="Tahoma" w:hAnsi="Tahoma" w:cs="Tahoma"/>
      <w:color w:val="000000"/>
      <w:sz w:val="16"/>
      <w:szCs w:val="16"/>
    </w:rPr>
  </w:style>
  <w:style w:type="character" w:customStyle="1" w:styleId="af0">
    <w:name w:val="Нижний колонтитул Знак"/>
    <w:uiPriority w:val="99"/>
    <w:qFormat/>
    <w:rPr>
      <w:rFonts w:eastAsia="Times New Roman"/>
      <w:sz w:val="24"/>
      <w:szCs w:val="24"/>
    </w:rPr>
  </w:style>
  <w:style w:type="character" w:customStyle="1" w:styleId="af1">
    <w:name w:val="Верхний колонтитул Знак"/>
    <w:qFormat/>
    <w:rPr>
      <w:rFonts w:eastAsia="Times New Roman"/>
      <w:sz w:val="24"/>
      <w:szCs w:val="24"/>
    </w:rPr>
  </w:style>
  <w:style w:type="character" w:customStyle="1" w:styleId="af2">
    <w:name w:val="Подзаголовок Знак"/>
    <w:qFormat/>
    <w:rPr>
      <w:rFonts w:eastAsia="MS Gothic"/>
      <w:b/>
      <w:iCs/>
      <w:color w:val="000000"/>
      <w:spacing w:val="15"/>
      <w:lang w:eastAsia="ru-RU"/>
    </w:rPr>
  </w:style>
  <w:style w:type="character" w:customStyle="1" w:styleId="af3">
    <w:name w:val="Заголовок Знак"/>
    <w:qFormat/>
    <w:rPr>
      <w:rFonts w:eastAsia="Times New Roman"/>
      <w:b/>
      <w:sz w:val="24"/>
      <w:szCs w:val="20"/>
      <w:lang w:eastAsia="ru-RU"/>
    </w:rPr>
  </w:style>
  <w:style w:type="character" w:customStyle="1" w:styleId="11">
    <w:name w:val="Заголовок 1 Знак"/>
    <w:qFormat/>
    <w:rPr>
      <w:rFonts w:eastAsia="MS ????"/>
      <w:b/>
      <w:bCs/>
      <w:kern w:val="2"/>
      <w:sz w:val="28"/>
      <w:szCs w:val="32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нумерации"/>
    <w:qFormat/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FontStyle428">
    <w:name w:val="Font Style428"/>
    <w:qFormat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af6">
    <w:name w:val="Обычный (веб) Знак"/>
    <w:qFormat/>
    <w:rPr>
      <w:sz w:val="24"/>
      <w:szCs w:val="24"/>
    </w:rPr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0">
    <w:name w:val="WW8Num1z0"/>
    <w:qFormat/>
    <w:rPr>
      <w:color w:val="000000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paragraph" w:styleId="af7">
    <w:name w:val="Title"/>
    <w:basedOn w:val="a"/>
    <w:next w:val="af8"/>
    <w:uiPriority w:val="10"/>
    <w:qFormat/>
    <w:pPr>
      <w:jc w:val="center"/>
    </w:pPr>
    <w:rPr>
      <w:b/>
    </w:rPr>
  </w:style>
  <w:style w:type="paragraph" w:styleId="af8">
    <w:name w:val="Body Text"/>
    <w:basedOn w:val="a"/>
    <w:pPr>
      <w:spacing w:after="120"/>
    </w:pPr>
    <w:rPr>
      <w:rFonts w:cs="Times New Roman"/>
    </w:rPr>
  </w:style>
  <w:style w:type="paragraph" w:styleId="af9">
    <w:name w:val="List"/>
    <w:basedOn w:val="af8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b">
    <w:name w:val="index heading"/>
    <w:basedOn w:val="af7"/>
  </w:style>
  <w:style w:type="paragraph" w:styleId="33">
    <w:name w:val="Body Text Indent 3"/>
    <w:basedOn w:val="a"/>
    <w:qFormat/>
    <w:pPr>
      <w:ind w:left="720" w:hanging="360"/>
      <w:jc w:val="both"/>
    </w:pPr>
    <w:rPr>
      <w:rFonts w:ascii="Times New Roman" w:hAnsi="Times New Roman" w:cs="Times New Roman"/>
    </w:rPr>
  </w:style>
  <w:style w:type="paragraph" w:customStyle="1" w:styleId="Iauiue">
    <w:name w:val="Iau.iue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Iniiaiieoaeno">
    <w:name w:val="Iniiaiie oaeno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a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d">
    <w:name w:val="footer"/>
    <w:basedOn w:val="a"/>
    <w:uiPriority w:val="99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25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 w:cs="Times New Roman"/>
    </w:rPr>
  </w:style>
  <w:style w:type="paragraph" w:styleId="26">
    <w:name w:val="Body Text 2"/>
    <w:basedOn w:val="a"/>
    <w:qFormat/>
    <w:pPr>
      <w:spacing w:after="120" w:line="480" w:lineRule="auto"/>
    </w:pPr>
    <w:rPr>
      <w:rFonts w:ascii="Times New Roman" w:hAnsi="Times New Roman" w:cs="Palatino Linotype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e">
    <w:name w:val="header"/>
    <w:basedOn w:val="a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Pr>
      <w:rFonts w:ascii="Times New Roman" w:eastAsia="Calibri" w:hAnsi="Times New Roman" w:cs="Times New Roman"/>
      <w:sz w:val="24"/>
    </w:rPr>
  </w:style>
  <w:style w:type="paragraph" w:styleId="aff">
    <w:name w:val="List Paragraph"/>
    <w:basedOn w:val="a"/>
    <w:qFormat/>
    <w:pPr>
      <w:ind w:left="708"/>
    </w:pPr>
  </w:style>
  <w:style w:type="paragraph" w:styleId="aff0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WW-0">
    <w:name w:val="WW-Заголовок"/>
    <w:basedOn w:val="a"/>
    <w:next w:val="af8"/>
    <w:qFormat/>
    <w:pPr>
      <w:keepNext/>
      <w:widowControl w:val="0"/>
      <w:spacing w:before="240" w:after="120"/>
    </w:pPr>
    <w:rPr>
      <w:rFonts w:ascii="Arial" w:eastAsia="MS Mincho;ＭＳ 明朝" w:hAnsi="Arial" w:cs="Tahoma"/>
      <w:szCs w:val="28"/>
      <w:lang w:val="en-US"/>
    </w:rPr>
  </w:style>
  <w:style w:type="paragraph" w:customStyle="1" w:styleId="12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hAnsi="Calibri" w:cs="Times New Roman"/>
      <w:sz w:val="22"/>
      <w:szCs w:val="22"/>
      <w:lang w:val="en-US"/>
    </w:rPr>
  </w:style>
  <w:style w:type="paragraph" w:styleId="aff1">
    <w:name w:val="TOC Heading"/>
    <w:basedOn w:val="1"/>
    <w:next w:val="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3">
    <w:name w:val="toc 1"/>
    <w:basedOn w:val="a"/>
    <w:next w:val="a"/>
    <w:pPr>
      <w:spacing w:before="360"/>
    </w:pPr>
    <w:rPr>
      <w:rFonts w:ascii="Arial" w:hAnsi="Arial" w:cs="Arial"/>
      <w:b/>
      <w:bCs/>
      <w:caps/>
      <w:sz w:val="24"/>
    </w:rPr>
  </w:style>
  <w:style w:type="paragraph" w:styleId="27">
    <w:name w:val="toc 2"/>
    <w:basedOn w:val="a"/>
    <w:next w:val="a"/>
    <w:pPr>
      <w:spacing w:before="240"/>
    </w:pPr>
    <w:rPr>
      <w:rFonts w:ascii="Times New Roman" w:hAnsi="Times New Roman" w:cs="Times New Roman"/>
      <w:b/>
      <w:bCs/>
      <w:sz w:val="20"/>
      <w:szCs w:val="20"/>
    </w:rPr>
  </w:style>
  <w:style w:type="paragraph" w:styleId="af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styleId="aff3">
    <w:name w:val="Document Map"/>
    <w:basedOn w:val="a"/>
    <w:qFormat/>
    <w:rPr>
      <w:rFonts w:ascii="Tahoma" w:hAnsi="Tahoma" w:cs="Times New Roman"/>
      <w:sz w:val="16"/>
      <w:szCs w:val="16"/>
    </w:rPr>
  </w:style>
  <w:style w:type="paragraph" w:styleId="35">
    <w:name w:val="toc 3"/>
    <w:basedOn w:val="a"/>
    <w:next w:val="a"/>
    <w:pPr>
      <w:ind w:left="280"/>
    </w:pPr>
    <w:rPr>
      <w:rFonts w:ascii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pPr>
      <w:ind w:left="560"/>
    </w:pPr>
    <w:rPr>
      <w:rFonts w:ascii="Times New Roman" w:hAnsi="Times New Roman" w:cs="Times New Roman"/>
      <w:sz w:val="20"/>
      <w:szCs w:val="20"/>
    </w:rPr>
  </w:style>
  <w:style w:type="paragraph" w:styleId="5">
    <w:name w:val="toc 5"/>
    <w:basedOn w:val="a"/>
    <w:next w:val="a"/>
    <w:pPr>
      <w:ind w:left="840"/>
    </w:pPr>
    <w:rPr>
      <w:rFonts w:ascii="Times New Roman" w:hAnsi="Times New Roman" w:cs="Times New Roman"/>
      <w:sz w:val="20"/>
      <w:szCs w:val="20"/>
    </w:rPr>
  </w:style>
  <w:style w:type="paragraph" w:styleId="6">
    <w:name w:val="toc 6"/>
    <w:basedOn w:val="a"/>
    <w:next w:val="a"/>
    <w:pPr>
      <w:ind w:left="1120"/>
    </w:pPr>
    <w:rPr>
      <w:rFonts w:ascii="Times New Roman" w:hAnsi="Times New Roman" w:cs="Times New Roman"/>
      <w:sz w:val="20"/>
      <w:szCs w:val="20"/>
    </w:rPr>
  </w:style>
  <w:style w:type="paragraph" w:styleId="7">
    <w:name w:val="toc 7"/>
    <w:basedOn w:val="a"/>
    <w:next w:val="a"/>
    <w:pPr>
      <w:ind w:left="1400"/>
    </w:pPr>
    <w:rPr>
      <w:rFonts w:ascii="Times New Roman" w:hAnsi="Times New Roman" w:cs="Times New Roman"/>
      <w:sz w:val="20"/>
      <w:szCs w:val="20"/>
    </w:rPr>
  </w:style>
  <w:style w:type="paragraph" w:styleId="8">
    <w:name w:val="toc 8"/>
    <w:basedOn w:val="a"/>
    <w:next w:val="a"/>
    <w:pPr>
      <w:ind w:left="1680"/>
    </w:pPr>
    <w:rPr>
      <w:rFonts w:ascii="Times New Roman" w:hAnsi="Times New Roman" w:cs="Times New Roman"/>
      <w:sz w:val="20"/>
      <w:szCs w:val="20"/>
    </w:rPr>
  </w:style>
  <w:style w:type="paragraph" w:styleId="9">
    <w:name w:val="toc 9"/>
    <w:basedOn w:val="a"/>
    <w:next w:val="a"/>
    <w:pPr>
      <w:ind w:left="1960"/>
    </w:pPr>
    <w:rPr>
      <w:rFonts w:ascii="Times New Roman" w:hAnsi="Times New Roman" w:cs="Times New Roman"/>
      <w:sz w:val="20"/>
      <w:szCs w:val="20"/>
    </w:rPr>
  </w:style>
  <w:style w:type="paragraph" w:customStyle="1" w:styleId="ms-rteelement-p">
    <w:name w:val="ms-rteelement-p"/>
    <w:basedOn w:val="a"/>
    <w:qFormat/>
    <w:pPr>
      <w:spacing w:before="280" w:after="280"/>
    </w:pPr>
    <w:rPr>
      <w:rFonts w:ascii="Times New Roman" w:hAnsi="Times New Roman" w:cs="Times New Roman"/>
      <w:color w:val="333333"/>
      <w:sz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blacktext">
    <w:name w:val="blacktext"/>
    <w:basedOn w:val="a"/>
    <w:qFormat/>
    <w:pPr>
      <w:spacing w:before="280" w:after="280"/>
    </w:pPr>
    <w:rPr>
      <w:rFonts w:ascii="Verdana" w:hAnsi="Verdana" w:cs="Times New Roman"/>
      <w:color w:val="000000"/>
      <w:sz w:val="16"/>
      <w:szCs w:val="16"/>
    </w:rPr>
  </w:style>
  <w:style w:type="paragraph" w:customStyle="1" w:styleId="blackbold">
    <w:name w:val="blackbold"/>
    <w:basedOn w:val="a"/>
    <w:qFormat/>
    <w:pPr>
      <w:spacing w:before="280" w:after="280"/>
    </w:pPr>
    <w:rPr>
      <w:rFonts w:ascii="Verdana" w:hAnsi="Verdana" w:cs="Times New Roman"/>
      <w:b/>
      <w:bCs/>
      <w:color w:val="000000"/>
      <w:sz w:val="16"/>
      <w:szCs w:val="16"/>
    </w:rPr>
  </w:style>
  <w:style w:type="paragraph" w:styleId="aff4">
    <w:name w:val="footnote text"/>
    <w:basedOn w:val="a"/>
    <w:rPr>
      <w:rFonts w:ascii="Calibri" w:hAnsi="Calibri" w:cs="Times New Roman"/>
      <w:sz w:val="20"/>
      <w:szCs w:val="20"/>
    </w:rPr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  <w:style w:type="paragraph" w:customStyle="1" w:styleId="aff7">
    <w:name w:val="Содержимое врезки"/>
    <w:basedOn w:val="a"/>
    <w:qFormat/>
  </w:style>
  <w:style w:type="paragraph" w:customStyle="1" w:styleId="aff8">
    <w:name w:val="Верхний колонтитул слева"/>
    <w:basedOn w:val="afe"/>
    <w:qFormat/>
    <w:pPr>
      <w:suppressLineNumbers/>
      <w:tabs>
        <w:tab w:val="clear" w:pos="4677"/>
        <w:tab w:val="clear" w:pos="9355"/>
        <w:tab w:val="center" w:pos="4782"/>
        <w:tab w:val="right" w:pos="9565"/>
      </w:tabs>
    </w:pPr>
  </w:style>
  <w:style w:type="paragraph" w:customStyle="1" w:styleId="ConsPlusDocList">
    <w:name w:val="ConsPlusDocLis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 w:bidi="ar-SA"/>
    </w:rPr>
  </w:style>
  <w:style w:type="paragraph" w:styleId="aff9">
    <w:name w:val="annotation subject"/>
    <w:qFormat/>
    <w:rPr>
      <w:b/>
      <w:bCs/>
      <w:sz w:val="20"/>
      <w:szCs w:val="20"/>
    </w:rPr>
  </w:style>
  <w:style w:type="paragraph" w:styleId="affa">
    <w:name w:val="annotation text"/>
    <w:basedOn w:val="a"/>
    <w:qFormat/>
    <w:rPr>
      <w:sz w:val="20"/>
      <w:szCs w:val="20"/>
    </w:rPr>
  </w:style>
  <w:style w:type="paragraph" w:customStyle="1" w:styleId="formattext">
    <w:name w:val="formattext"/>
    <w:basedOn w:val="a"/>
    <w:qFormat/>
    <w:pPr>
      <w:spacing w:before="144" w:after="144"/>
    </w:pPr>
  </w:style>
  <w:style w:type="paragraph" w:customStyle="1" w:styleId="28">
    <w:name w:val="Абзац списка2"/>
    <w:basedOn w:val="a"/>
    <w:qFormat/>
    <w:pPr>
      <w:ind w:left="720" w:firstLine="340"/>
      <w:contextualSpacing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14">
    <w:name w:val="Обычный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210">
    <w:name w:val="Основной текст 21"/>
    <w:basedOn w:val="a"/>
    <w:qFormat/>
    <w:pPr>
      <w:jc w:val="center"/>
      <w:textAlignment w:val="baseline"/>
    </w:pPr>
    <w:rPr>
      <w:b/>
      <w:szCs w:val="20"/>
    </w:rPr>
  </w:style>
  <w:style w:type="paragraph" w:customStyle="1" w:styleId="WW-1">
    <w:name w:val="WW-Название"/>
    <w:basedOn w:val="a"/>
    <w:qFormat/>
    <w:pPr>
      <w:jc w:val="center"/>
      <w:textAlignment w:val="baseline"/>
    </w:pPr>
    <w:rPr>
      <w:rFonts w:ascii="Arial" w:hAnsi="Arial" w:cs="Times New Roman"/>
      <w:b/>
      <w:szCs w:val="20"/>
    </w:rPr>
  </w:style>
  <w:style w:type="paragraph" w:customStyle="1" w:styleId="Style353">
    <w:name w:val="Style353"/>
    <w:basedOn w:val="a"/>
    <w:qFormat/>
    <w:pPr>
      <w:widowControl w:val="0"/>
    </w:pPr>
    <w:rPr>
      <w:rFonts w:ascii="Times New Roman" w:hAnsi="Times New Roman" w:cs="Times New Roman"/>
      <w:sz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in.ru/finanalysis/savchuk/7.shtml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ra-national.ru/ru/taxonomy/term/90?type=ratin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cfin.ru/finanalysis/savchuk/2.s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www.znanium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cfin.ru/finanalysis/savchuk/7.shtml" TargetMode="External"/><Relationship Id="rId19" Type="http://schemas.openxmlformats.org/officeDocument/2006/relationships/hyperlink" Target="http://pppcenter.ru/proektyi-czentra/rejting-regionov-po-gchp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fin.ru/finanalysis/savchuk/7.shtml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38</Pages>
  <Words>8855</Words>
  <Characters>50475</Characters>
  <Application>Microsoft Office Word</Application>
  <DocSecurity>0</DocSecurity>
  <Lines>420</Lines>
  <Paragraphs>118</Paragraphs>
  <ScaleCrop>false</ScaleCrop>
  <Company/>
  <LinksUpToDate>false</LinksUpToDate>
  <CharactersWithSpaces>59212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dc:description/>
  <cp:lastModifiedBy>Борисова Екатерина Владимировна</cp:lastModifiedBy>
  <cp:revision>45</cp:revision>
  <cp:lastPrinted>2016-05-23T14:59:00Z</cp:lastPrinted>
  <dcterms:created xsi:type="dcterms:W3CDTF">2022-09-20T09:41:00Z</dcterms:created>
  <dcterms:modified xsi:type="dcterms:W3CDTF">2022-12-05T14:21:00Z</dcterms:modified>
  <dc:language>ru-RU</dc:language>
</cp:coreProperties>
</file>